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olor w:val="1B3A5C"/>
          <w:sz w:val="56"/>
          <w:szCs w:val="56"/>
        </w:rPr>
        <w:t xml:space="preserve">AUDIT ALIGN</w:t>
      </w:r>
    </w:p>
    <w:p>
      <w:pPr>
        <w:spacing w:after="60" w:before="0"/>
        <w:jc w:val="center"/>
      </w:pPr>
      <w:r>
        <w:rPr>
          <w:rFonts w:ascii="Arial" w:cs="Arial" w:eastAsia="Arial" w:hAnsi="Arial"/>
          <w:b w:val="false"/>
          <w:bCs w:val="false"/>
          <w:color w:val="2E5F8A"/>
          <w:sz w:val="32"/>
          <w:szCs w:val="32"/>
        </w:rPr>
        <w:t xml:space="preserve">Security &amp; Data Handling Overview</w:t>
      </w:r>
    </w:p>
    <w:p>
      <w:pPr>
        <w:spacing w:after="40" w:before="0"/>
        <w:jc w:val="center"/>
      </w:pPr>
      <w:r>
        <w:rPr>
          <w:rFonts w:ascii="Arial" w:cs="Arial" w:eastAsia="Arial" w:hAnsi="Arial"/>
          <w:i/>
          <w:iCs/>
          <w:color w:val="2E5F8A"/>
          <w:sz w:val="22"/>
          <w:szCs w:val="22"/>
        </w:rPr>
        <w:t xml:space="preserve">For Pilot Partner Evaluation</w:t>
      </w:r>
    </w:p>
    <w:p>
      <w:pPr>
        <w:spacing w:after="20" w:before="0"/>
        <w:jc w:val="center"/>
      </w:pPr>
      <w:r>
        <w:rPr>
          <w:rFonts w:ascii="Arial" w:cs="Arial" w:eastAsia="Arial" w:hAnsi="Arial"/>
          <w:color w:val="888888"/>
          <w:sz w:val="18"/>
          <w:szCs w:val="18"/>
        </w:rPr>
        <w:t xml:space="preserve">Updated May 2026  —  v1.5</w:t>
      </w:r>
    </w:p>
    <w:p>
      <w:pPr>
        <w:pBdr>
          <w:bottom w:val="single" w:color="2E5F8A" w:sz="10" w:space="4"/>
        </w:pBdr>
        <w:spacing w:after="400" w:before="0"/>
        <w:jc w:val="center"/>
      </w:pPr>
      <w:r>
        <w:rPr>
          <w:rFonts w:ascii="Arial" w:cs="Arial" w:eastAsia="Arial" w:hAnsi="Arial"/>
          <w:b/>
          <w:bCs/>
          <w:color w:val="1A7A6E"/>
          <w:sz w:val="20"/>
          <w:szCs w:val="20"/>
        </w:rPr>
        <w:t xml:space="preserve">★  Hardened for Regulated Financial Institutions  ★</w:t>
      </w:r>
    </w:p>
    <w:p>
      <w:pPr>
        <w:spacing w:after="120" w:before="0"/>
      </w:pPr>
      <w:r>
        <w:rPr>
          <w:rFonts w:ascii="Arial" w:cs="Arial" w:eastAsia="Arial" w:hAnsi="Arial"/>
          <w:color w:val="1A1A1A"/>
          <w:sz w:val="22"/>
          <w:szCs w:val="22"/>
        </w:rPr>
        <w:t xml:space="preserve">This document summarizes Audit Align’s security posture, data handling practices, and information classification framework for institutions evaluating the platform as a pilot partner. Audit Align is purpose-built for regulated financial institutions and applies security controls commensurate with the sensitivity of institutional compliance data.</w:t>
      </w:r>
    </w:p>
    <w:p>
      <w:pPr>
        <w:spacing w:after="120" w:before="0"/>
      </w:pPr>
      <w:r>
        <w:rPr>
          <w:rFonts w:ascii="Arial" w:cs="Arial" w:eastAsia="Arial" w:hAnsi="Arial"/>
          <w:color w:val="1A1A1A"/>
          <w:sz w:val="22"/>
          <w:szCs w:val="22"/>
        </w:rPr>
        <w:t xml:space="preserve">This version (v1.5, May 2026) adds three further hardening changes implemented after the v1.4 release: migration of the primary database from Railway PostgreSQL to Supabase PostgreSQL (SOC 2 Type II, ISO 27001); per-tenant envelope encryption of all sensitive control-text fields at rest, using a two-layer key architecture (Data Encryption Key per tenant, wrapped by a master Key Encryption Key that never touches the database); and expansion of the audit trail to capture read access events in addition to data mutations. All v1.4 and v1.3 controls remain in effect.</w:t>
      </w:r>
    </w:p>
    <w:p>
      <w:pPr>
        <w:spacing w:after="80" w:before="0"/>
      </w:pPr>
    </w:p>
    <w:p>
      <w:pPr>
        <w:pStyle w:val="Heading1"/>
        <w:spacing w:after="120" w:before="320"/>
      </w:pPr>
      <w:r>
        <w:rPr>
          <w:rFonts w:ascii="Arial" w:cs="Arial" w:eastAsia="Arial" w:hAnsi="Arial"/>
          <w:b/>
          <w:bCs/>
          <w:color w:val="1B3A5C"/>
          <w:sz w:val="28"/>
          <w:szCs w:val="28"/>
        </w:rPr>
        <w:t xml:space="preserve">1.  Platform Architecture &amp; Data Classification</w:t>
      </w:r>
    </w:p>
    <w:p>
      <w:pPr>
        <w:pBdr>
          <w:bottom w:val="single" w:color="D6E8F5" w:sz="8" w:space="1"/>
        </w:pBdr>
        <w:spacing w:after="0" w:before="0"/>
      </w:pPr>
    </w:p>
    <w:p>
      <w:pPr>
        <w:spacing w:after="80" w:before="0"/>
      </w:pPr>
    </w:p>
    <w:p>
      <w:pPr>
        <w:spacing w:after="120" w:before="0"/>
      </w:pPr>
      <w:r>
        <w:rPr>
          <w:rFonts w:ascii="Arial" w:cs="Arial" w:eastAsia="Arial" w:hAnsi="Arial"/>
          <w:color w:val="1A1A1A"/>
          <w:sz w:val="22"/>
          <w:szCs w:val="22"/>
        </w:rPr>
        <w:t xml:space="preserve">Audit Align is a regulatory compliance mapping platform that ingests institution-submitted control information, compares it against publicly available industry standards and regulatory frameworks (such as the NIST AI Risk Management Framework and the Cyber Risk Institute Profile), and stores remediation evidence uploaded by institutions for audit and documentation purposes.</w:t>
      </w:r>
    </w:p>
    <w:p>
      <w:pPr>
        <w:spacing w:after="40" w:before="0"/>
      </w:pPr>
    </w:p>
    <w:p>
      <w:pPr>
        <w:pStyle w:val="Heading2"/>
        <w:spacing w:after="80" w:before="220"/>
      </w:pPr>
      <w:r>
        <w:rPr>
          <w:rFonts w:ascii="Arial" w:cs="Arial" w:eastAsia="Arial" w:hAnsi="Arial"/>
          <w:b/>
          <w:bCs/>
          <w:color w:val="2E5F8A"/>
          <w:sz w:val="24"/>
          <w:szCs w:val="24"/>
        </w:rPr>
        <w:t xml:space="preserve">Data the Platform Collects and Stores</w:t>
      </w:r>
    </w:p>
    <w:p>
      <w:pPr>
        <w:pStyle w:val="ListParagraph"/>
        <w:numPr>
          <w:ilvl w:val="0"/>
          <w:numId w:val="2"/>
        </w:numPr>
        <w:spacing w:after="40" w:before="40"/>
      </w:pPr>
      <w:r>
        <w:rPr>
          <w:rFonts w:ascii="Arial" w:cs="Arial" w:eastAsia="Arial" w:hAnsi="Arial"/>
          <w:color w:val="1A1A1A"/>
          <w:sz w:val="22"/>
          <w:szCs w:val="22"/>
        </w:rPr>
        <w:t xml:space="preserve">Control descriptions and implementation narratives submitted by institution users</w:t>
      </w:r>
    </w:p>
    <w:p>
      <w:pPr>
        <w:pStyle w:val="ListParagraph"/>
        <w:numPr>
          <w:ilvl w:val="0"/>
          <w:numId w:val="2"/>
        </w:numPr>
        <w:spacing w:after="40" w:before="40"/>
      </w:pPr>
      <w:r>
        <w:rPr>
          <w:rFonts w:ascii="Arial" w:cs="Arial" w:eastAsia="Arial" w:hAnsi="Arial"/>
          <w:color w:val="1A1A1A"/>
          <w:sz w:val="22"/>
          <w:szCs w:val="22"/>
        </w:rPr>
        <w:t xml:space="preserve">Remediation evidence files (e.g., policies, procedures, screenshots, attestations) uploaded for audit documentation</w:t>
      </w:r>
    </w:p>
    <w:p>
      <w:pPr>
        <w:pStyle w:val="ListParagraph"/>
        <w:numPr>
          <w:ilvl w:val="0"/>
          <w:numId w:val="2"/>
        </w:numPr>
        <w:spacing w:after="40" w:before="40"/>
      </w:pPr>
      <w:r>
        <w:rPr>
          <w:rFonts w:ascii="Arial" w:cs="Arial" w:eastAsia="Arial" w:hAnsi="Arial"/>
          <w:color w:val="1A1A1A"/>
          <w:sz w:val="22"/>
          <w:szCs w:val="22"/>
        </w:rPr>
        <w:t xml:space="preserve">Control-to-framework mapping results and gap assessments generated by the platform</w:t>
      </w:r>
    </w:p>
    <w:p>
      <w:pPr>
        <w:pStyle w:val="ListParagraph"/>
        <w:numPr>
          <w:ilvl w:val="0"/>
          <w:numId w:val="2"/>
        </w:numPr>
        <w:spacing w:after="40" w:before="40"/>
      </w:pPr>
      <w:r>
        <w:rPr>
          <w:rFonts w:ascii="Arial" w:cs="Arial" w:eastAsia="Arial" w:hAnsi="Arial"/>
          <w:color w:val="1A1A1A"/>
          <w:sz w:val="22"/>
          <w:szCs w:val="22"/>
        </w:rPr>
        <w:t xml:space="preserve">User account information (name, email, title, organization) for access management</w:t>
      </w:r>
    </w:p>
    <w:p>
      <w:pPr>
        <w:pStyle w:val="ListParagraph"/>
        <w:numPr>
          <w:ilvl w:val="0"/>
          <w:numId w:val="2"/>
        </w:numPr>
        <w:spacing w:after="40" w:before="40"/>
      </w:pPr>
      <w:r>
        <w:rPr>
          <w:rFonts w:ascii="Arial" w:cs="Arial" w:eastAsia="Arial" w:hAnsi="Arial"/>
          <w:color w:val="1A1A1A"/>
          <w:sz w:val="22"/>
          <w:szCs w:val="22"/>
        </w:rPr>
        <w:t xml:space="preserve">Platform usage and activity logs for security monitoring and audit trail purposes</w:t>
      </w:r>
    </w:p>
    <w:p>
      <w:pPr>
        <w:spacing w:after="80" w:before="0"/>
      </w:pPr>
    </w:p>
    <w:p>
      <w:pPr>
        <w:pStyle w:val="Heading2"/>
        <w:spacing w:after="80" w:before="220"/>
      </w:pPr>
      <w:r>
        <w:rPr>
          <w:rFonts w:ascii="Arial" w:cs="Arial" w:eastAsia="Arial" w:hAnsi="Arial"/>
          <w:b/>
          <w:bCs/>
          <w:color w:val="2E5F8A"/>
          <w:sz w:val="24"/>
          <w:szCs w:val="24"/>
        </w:rPr>
        <w:t xml:space="preserve">Data the Platform Does NOT Collect or Store</w:t>
      </w:r>
    </w:p>
    <w:p>
      <w:pPr>
        <w:pStyle w:val="ListParagraph"/>
        <w:numPr>
          <w:ilvl w:val="0"/>
          <w:numId w:val="2"/>
        </w:numPr>
        <w:spacing w:after="40" w:before="40"/>
      </w:pPr>
      <w:r>
        <w:rPr>
          <w:rFonts w:ascii="Arial" w:cs="Arial" w:eastAsia="Arial" w:hAnsi="Arial"/>
          <w:color w:val="1A1A1A"/>
          <w:sz w:val="22"/>
          <w:szCs w:val="22"/>
        </w:rPr>
        <w:t xml:space="preserve">Customer or consumer Personally Identifiable Information (PII) or Non-Public Personal Information (NPI)</w:t>
      </w:r>
    </w:p>
    <w:p>
      <w:pPr>
        <w:pStyle w:val="ListParagraph"/>
        <w:numPr>
          <w:ilvl w:val="0"/>
          <w:numId w:val="2"/>
        </w:numPr>
        <w:spacing w:after="40" w:before="40"/>
      </w:pPr>
      <w:r>
        <w:rPr>
          <w:rFonts w:ascii="Arial" w:cs="Arial" w:eastAsia="Arial" w:hAnsi="Arial"/>
          <w:color w:val="1A1A1A"/>
          <w:sz w:val="22"/>
          <w:szCs w:val="22"/>
        </w:rPr>
        <w:t xml:space="preserve">Financial account data, transaction records, or payment card information</w:t>
      </w:r>
    </w:p>
    <w:p>
      <w:pPr>
        <w:pStyle w:val="ListParagraph"/>
        <w:numPr>
          <w:ilvl w:val="0"/>
          <w:numId w:val="2"/>
        </w:numPr>
        <w:spacing w:after="40" w:before="40"/>
      </w:pPr>
      <w:r>
        <w:rPr>
          <w:rFonts w:ascii="Arial" w:cs="Arial" w:eastAsia="Arial" w:hAnsi="Arial"/>
          <w:color w:val="1A1A1A"/>
          <w:sz w:val="22"/>
          <w:szCs w:val="22"/>
        </w:rPr>
        <w:t xml:space="preserve">Consumer-facing or customer-level data of any kind</w:t>
      </w:r>
    </w:p>
    <w:p>
      <w:pPr>
        <w:spacing w:after="80" w:before="0"/>
      </w:pPr>
    </w:p>
    <w:p>
      <w:pPr>
        <w:pStyle w:val="Heading2"/>
        <w:spacing w:after="80" w:before="220"/>
      </w:pPr>
      <w:r>
        <w:rPr>
          <w:rFonts w:ascii="Arial" w:cs="Arial" w:eastAsia="Arial" w:hAnsi="Arial"/>
          <w:b/>
          <w:bCs/>
          <w:color w:val="2E5F8A"/>
          <w:sz w:val="24"/>
          <w:szCs w:val="24"/>
        </w:rPr>
        <w:t xml:space="preserve">Data Sensitivity Characterization</w:t>
      </w:r>
    </w:p>
    <w:p>
      <w:pPr>
        <w:spacing w:after="120" w:before="0"/>
      </w:pPr>
      <w:r>
        <w:rPr>
          <w:rFonts w:ascii="Arial" w:cs="Arial" w:eastAsia="Arial" w:hAnsi="Arial"/>
          <w:color w:val="1A1A1A"/>
          <w:sz w:val="22"/>
          <w:szCs w:val="22"/>
        </w:rPr>
        <w:t xml:space="preserve">While institution-submitted control data and remediation evidence are unlikely to contain consumer PII or NPI, they may constitute sensitive institutional information, including internal control frameworks, audit documentation, policy language, and compliance posture details. Audit Align treats all institution-submitted data as confidential and applies security controls accordingly.</w:t>
      </w:r>
    </w:p>
    <w:p>
      <w:pPr>
        <w:spacing w:after="120" w:before="0"/>
      </w:pPr>
    </w:p>
    <w:p>
      <w:pPr>
        <w:pStyle w:val="Heading1"/>
        <w:spacing w:after="120" w:before="320"/>
      </w:pPr>
      <w:r>
        <w:rPr>
          <w:rFonts w:ascii="Arial" w:cs="Arial" w:eastAsia="Arial" w:hAnsi="Arial"/>
          <w:b/>
          <w:bCs/>
          <w:color w:val="1B3A5C"/>
          <w:sz w:val="28"/>
          <w:szCs w:val="28"/>
        </w:rPr>
        <w:t xml:space="preserve">2.  Security Controls Summary</w:t>
      </w:r>
    </w:p>
    <w:p>
      <w:pPr>
        <w:pBdr>
          <w:bottom w:val="single" w:color="D6E8F5" w:sz="8" w:space="1"/>
        </w:pBdr>
        <w:spacing w:after="0" w:before="0"/>
      </w:pPr>
    </w:p>
    <w:p>
      <w:pPr>
        <w:spacing w:after="80" w:before="0"/>
      </w:pPr>
    </w:p>
    <w:p>
      <w:pPr>
        <w:spacing w:after="120" w:before="0"/>
      </w:pPr>
      <w:r>
        <w:rPr>
          <w:rFonts w:ascii="Arial" w:cs="Arial" w:eastAsia="Arial" w:hAnsi="Arial"/>
          <w:color w:val="1A1A1A"/>
          <w:sz w:val="22"/>
          <w:szCs w:val="22"/>
        </w:rPr>
        <w:t xml:space="preserve">The table below reflects Audit Align’s current security control implementation. Controls marked “Enhanced in v1.3” reflect changes implemented in April 2026; controls marked “Enhanced in v1.5” reflect changes implemented in May 2026. All prior controls remain active.</w:t>
      </w:r>
    </w:p>
    <w:p>
      <w:pPr>
        <w:spacing w:after="8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6080"/>
        <w:gridCol w:w="1400"/>
      </w:tblGrid>
      <w:tr>
        <w:trPr>
          <w:tblHeader/>
        </w:trPr>
        <w:tc>
          <w:tcPr>
            <w:tcW w:type="dxa" w:w="2600"/>
            <w:tcBorders>
              <w:top w:val="single" w:color="1B3A5C" w:sz="1"/>
              <w:left w:val="single" w:color="1B3A5C" w:sz="1"/>
              <w:bottom w:val="single" w:color="1B3A5C" w:sz="1"/>
              <w:right w:val="single" w:color="1B3A5C" w:sz="1"/>
            </w:tcBorders>
            <w:shd w:fill="1B3A5C" w:val="clear"/>
            <w:tcMar>
              <w:top w:type="dxa" w:w="100"/>
              <w:left w:type="dxa" w:w="140"/>
              <w:bottom w:type="dxa" w:w="100"/>
              <w:right w:type="dxa" w:w="140"/>
            </w:tcMar>
            <w:vAlign w:val="center"/>
          </w:tcPr>
          <w:p>
            <w:pPr>
              <w:spacing w:after="0" w:before="0"/>
            </w:pPr>
            <w:r>
              <w:rPr>
                <w:rFonts w:ascii="Arial" w:cs="Arial" w:eastAsia="Arial" w:hAnsi="Arial"/>
                <w:b/>
                <w:bCs/>
                <w:color w:val="FFFFFF"/>
                <w:sz w:val="20"/>
                <w:szCs w:val="20"/>
              </w:rPr>
              <w:t xml:space="preserve">Security Domain</w:t>
            </w:r>
          </w:p>
        </w:tc>
        <w:tc>
          <w:tcPr>
            <w:tcW w:type="dxa" w:w="6080"/>
            <w:tcBorders>
              <w:top w:val="single" w:color="1B3A5C" w:sz="1"/>
              <w:left w:val="single" w:color="1B3A5C" w:sz="1"/>
              <w:bottom w:val="single" w:color="1B3A5C" w:sz="1"/>
              <w:right w:val="single" w:color="1B3A5C" w:sz="1"/>
            </w:tcBorders>
            <w:shd w:fill="1B3A5C" w:val="clear"/>
            <w:tcMar>
              <w:top w:type="dxa" w:w="100"/>
              <w:left w:type="dxa" w:w="140"/>
              <w:bottom w:type="dxa" w:w="100"/>
              <w:right w:type="dxa" w:w="140"/>
            </w:tcMar>
            <w:vAlign w:val="center"/>
          </w:tcPr>
          <w:p>
            <w:pPr>
              <w:spacing w:after="0" w:before="0"/>
            </w:pPr>
            <w:r>
              <w:rPr>
                <w:rFonts w:ascii="Arial" w:cs="Arial" w:eastAsia="Arial" w:hAnsi="Arial"/>
                <w:b/>
                <w:bCs/>
                <w:color w:val="FFFFFF"/>
                <w:sz w:val="20"/>
                <w:szCs w:val="20"/>
              </w:rPr>
              <w:t xml:space="preserve">Implementation Detail</w:t>
            </w:r>
          </w:p>
        </w:tc>
        <w:tc>
          <w:tcPr>
            <w:tcW w:type="dxa" w:w="1400"/>
            <w:tcBorders>
              <w:top w:val="single" w:color="1B3A5C" w:sz="1"/>
              <w:left w:val="single" w:color="1B3A5C" w:sz="1"/>
              <w:bottom w:val="single" w:color="1B3A5C" w:sz="1"/>
              <w:right w:val="single" w:color="1B3A5C" w:sz="1"/>
            </w:tcBorders>
            <w:shd w:fill="1B3A5C" w:val="clear"/>
            <w:tcMar>
              <w:top w:type="dxa" w:w="100"/>
              <w:left w:type="dxa" w:w="140"/>
              <w:bottom w:type="dxa" w:w="100"/>
              <w:right w:type="dxa" w:w="140"/>
            </w:tcMar>
            <w:vAlign w:val="center"/>
          </w:tcPr>
          <w:p>
            <w:pPr>
              <w:spacing w:after="0" w:before="0"/>
            </w:pPr>
            <w:r>
              <w:rPr>
                <w:rFonts w:ascii="Arial" w:cs="Arial" w:eastAsia="Arial" w:hAnsi="Arial"/>
                <w:b/>
                <w:bCs/>
                <w:color w:val="FFFFFF"/>
                <w:sz w:val="20"/>
                <w:szCs w:val="20"/>
              </w:rPr>
              <w:t xml:space="preserve">Status</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Encryption in Transit</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All data transmitted between user and platform is encrypted via TLS 1.2 or higher. Certificate managed via Railway’s managed infrastructure.</w:t>
            </w:r>
          </w:p>
        </w:tc>
        <w:tc>
          <w:tcPr>
            <w:tcW w:type="dxa" w:w="1400"/>
            <w:tcBorders>
              <w:top w:val="single" w:color="CCCCCC" w:sz="1"/>
              <w:left w:val="single" w:color="CCCCCC" w:sz="1"/>
              <w:bottom w:val="single" w:color="CCCCCC" w:sz="1"/>
              <w:right w:val="single" w:color="CCCCCC" w:sz="1"/>
            </w:tcBorders>
            <w:shd w:fill="1A7A6E"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Active</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Encryption at Rest — v1.5</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Two-layer encryption protects institution control data at rest. Layer 1 — database-level: the production database (Supabase PostgreSQL) uses AES-256 encryption for all stored data. Layer 2 — per-tenant application-level encryption: sensitive control-text fields are additionally encrypted at the application layer using Fernet symmetric encryption (AES-128-CBC + HMAC-SHA256) with a key unique to each institution tenant. Encrypted fields include: control descriptions, control implementation narratives, machine-generated rationale, evidence notes, reviewer notes, and rationale overrides. The key architecture uses envelope encryption: each tenant’s Data Encryption Key (DEK) is itself encrypted with a master Key Encryption Key (KEK) stored only in the deployment environment (Railway), never in the database. Decrypting any institution’s control data requires simultaneous access to both the KEK in the deployment environment and the encrypted DEK in the database. A database dump alone yields only ciphertext throughout. Database credentials are stored as environment secrets, never in source code. All connections to the database use TLS (SSL required).</w:t>
            </w:r>
          </w:p>
        </w:tc>
        <w:tc>
          <w:tcPr>
            <w:tcW w:type="dxa" w:w="1400"/>
            <w:tcBorders>
              <w:top w:val="single" w:color="CCCCCC" w:sz="1"/>
              <w:left w:val="single" w:color="CCCCCC" w:sz="1"/>
              <w:bottom w:val="single" w:color="CCCCCC" w:sz="1"/>
              <w:right w:val="single" w:color="CCCCCC" w:sz="1"/>
            </w:tcBorders>
            <w:shd w:fill="2E6DA4"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Enhanced</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Session Cookies — v1.3</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Auth tokens stored exclusively in httpOnly, Secure, SameSite=none cookies. JavaScript running in the browser cannot read the session token under any circumstances, eliminating XSS-based token theft. SameSite=none (paired with Secure=true) is required because the frontend (app.auditalign.io) and backend API (api.auditalign.io) are served from different subdomains; SameSite=strict would block the auth cookie from being sent on cross-origin requests, breaking authentication. CSRF risk is mitigated by the httpOnly flag, the Secure requirement, and the enumerated CORS allowlist. Separate non-sensitive flag cookie used for client-side session detection. Session expiry: 60 minutes.</w:t>
            </w:r>
          </w:p>
        </w:tc>
        <w:tc>
          <w:tcPr>
            <w:tcW w:type="dxa" w:w="1400"/>
            <w:tcBorders>
              <w:top w:val="single" w:color="CCCCCC" w:sz="1"/>
              <w:left w:val="single" w:color="CCCCCC" w:sz="1"/>
              <w:bottom w:val="single" w:color="CCCCCC" w:sz="1"/>
              <w:right w:val="single" w:color="CCCCCC" w:sz="1"/>
            </w:tcBorders>
            <w:shd w:fill="B8860B"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Enhanced</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Brute Force &amp; Rate Limiting — v1.3</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Login endpoint rate-limited to 10 attempts per IP per 15-minute window. Registration and password-reset flows rate-limited to 5 per IP per hour. Rate limit counters are database-persisted — state survives server restarts and is enforced consistently across multiple instances. Account lockout triggered after 5 consecutive failed login attempts; lock duration: 30 minutes. Lockout state also persisted in database.</w:t>
            </w:r>
          </w:p>
        </w:tc>
        <w:tc>
          <w:tcPr>
            <w:tcW w:type="dxa" w:w="1400"/>
            <w:tcBorders>
              <w:top w:val="single" w:color="CCCCCC" w:sz="1"/>
              <w:left w:val="single" w:color="CCCCCC" w:sz="1"/>
              <w:bottom w:val="single" w:color="CCCCCC" w:sz="1"/>
              <w:right w:val="single" w:color="CCCCCC" w:sz="1"/>
            </w:tcBorders>
            <w:shd w:fill="B8860B"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Enhanced</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Account Deprovisioning — v1.3</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Deactivating a user account instantly invalidates all active sessions platform-wide. No grace period — the is_active check is enforced on every authenticated request, not just at login. Departing employee access is revoked immediately.</w:t>
            </w:r>
          </w:p>
        </w:tc>
        <w:tc>
          <w:tcPr>
            <w:tcW w:type="dxa" w:w="1400"/>
            <w:tcBorders>
              <w:top w:val="single" w:color="CCCCCC" w:sz="1"/>
              <w:left w:val="single" w:color="CCCCCC" w:sz="1"/>
              <w:bottom w:val="single" w:color="CCCCCC" w:sz="1"/>
              <w:right w:val="single" w:color="CCCCCC" w:sz="1"/>
            </w:tcBorders>
            <w:shd w:fill="B8860B"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Enhanced</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Password Security — v1.3</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Minimum 12-character passwords required at registration; must include uppercase, lowercase, and numeric characters. Passwords stored exclusively as bcrypt hashes — never in plain text or reversible form.</w:t>
            </w:r>
          </w:p>
        </w:tc>
        <w:tc>
          <w:tcPr>
            <w:tcW w:type="dxa" w:w="1400"/>
            <w:tcBorders>
              <w:top w:val="single" w:color="CCCCCC" w:sz="1"/>
              <w:left w:val="single" w:color="CCCCCC" w:sz="1"/>
              <w:bottom w:val="single" w:color="CCCCCC" w:sz="1"/>
              <w:right w:val="single" w:color="CCCCCC" w:sz="1"/>
            </w:tcBorders>
            <w:shd w:fill="B8860B"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Enhanced</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Role-Based Access Control</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Two-tier role system (admin / analyst) with least-privilege defaults. Users can only access data belonging to their own institution tenant. Admin actions and all data mutations are logged to an immutable audit trail.</w:t>
            </w:r>
          </w:p>
        </w:tc>
        <w:tc>
          <w:tcPr>
            <w:tcW w:type="dxa" w:w="1400"/>
            <w:tcBorders>
              <w:top w:val="single" w:color="CCCCCC" w:sz="1"/>
              <w:left w:val="single" w:color="CCCCCC" w:sz="1"/>
              <w:bottom w:val="single" w:color="CCCCCC" w:sz="1"/>
              <w:right w:val="single" w:color="CCCCCC" w:sz="1"/>
            </w:tcBorders>
            <w:shd w:fill="1A7A6E"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Active</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Tenant Data Isolation</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Every database query is filtered by tenant_id derived from the authenticated session token — not from user-supplied input. Architectural isolation: it is not possible to retrieve another institution’s data via API, even with a valid token.</w:t>
            </w:r>
          </w:p>
        </w:tc>
        <w:tc>
          <w:tcPr>
            <w:tcW w:type="dxa" w:w="1400"/>
            <w:tcBorders>
              <w:top w:val="single" w:color="CCCCCC" w:sz="1"/>
              <w:left w:val="single" w:color="CCCCCC" w:sz="1"/>
              <w:bottom w:val="single" w:color="CCCCCC" w:sz="1"/>
              <w:right w:val="single" w:color="CCCCCC" w:sz="1"/>
            </w:tcBorders>
            <w:shd w:fill="1A7A6E"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Active</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Immutable Audit Log — v1.5</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Every data mutation (gap status changes, evidence submissions, assignment changes, AI rationale overrides) is recorded with the acting user, field changed, old value, new value, and UTC timestamp. As of v1.5, read access to sensitive data is also logged: each retrieval of a gap item’s control-text fields, bulk gap list downloads, Excel exports, and executive PDF exports write an audit record with the acting user, event type, and UTC timestamp. Institutions can request a complete access log showing every read and write event affecting their data. Audit log entries cannot be edited or deleted by platform users.</w:t>
            </w:r>
          </w:p>
        </w:tc>
        <w:tc>
          <w:tcPr>
            <w:tcW w:type="dxa" w:w="1400"/>
            <w:tcBorders>
              <w:top w:val="single" w:color="CCCCCC" w:sz="1"/>
              <w:left w:val="single" w:color="CCCCCC" w:sz="1"/>
              <w:bottom w:val="single" w:color="CCCCCC" w:sz="1"/>
              <w:right w:val="single" w:color="CCCCCC" w:sz="1"/>
            </w:tcBorders>
            <w:shd w:fill="1A7A6E"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Active</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File Upload Validation — v1.3</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Control files are validated for file type (.csv and .xlsx only) and size (10 MB maximum) before any processing occurs. Uploaded files are processed in an isolated temporary directory and not retained after the mapping run completes.</w:t>
            </w:r>
          </w:p>
        </w:tc>
        <w:tc>
          <w:tcPr>
            <w:tcW w:type="dxa" w:w="1400"/>
            <w:tcBorders>
              <w:top w:val="single" w:color="CCCCCC" w:sz="1"/>
              <w:left w:val="single" w:color="CCCCCC" w:sz="1"/>
              <w:bottom w:val="single" w:color="CCCCCC" w:sz="1"/>
              <w:right w:val="single" w:color="CCCCCC" w:sz="1"/>
            </w:tcBorders>
            <w:shd w:fill="B8860B"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Enhanced</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API Surface Hardening — v1.3</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Interactive API documentation endpoints (/docs, /redoc) are disabled in production. localhost CORS origins are stripped in the production environment. Production environment flag (ENV=production) is set via Railway secrets.</w:t>
            </w:r>
          </w:p>
        </w:tc>
        <w:tc>
          <w:tcPr>
            <w:tcW w:type="dxa" w:w="1400"/>
            <w:tcBorders>
              <w:top w:val="single" w:color="CCCCCC" w:sz="1"/>
              <w:left w:val="single" w:color="CCCCCC" w:sz="1"/>
              <w:bottom w:val="single" w:color="CCCCCC" w:sz="1"/>
              <w:right w:val="single" w:color="CCCCCC" w:sz="1"/>
            </w:tcBorders>
            <w:shd w:fill="B8860B"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Enhanced</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Evidence Closure Controls</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Gap items cannot be marked closed without documented evidence notes. Enforced at the API layer — not a UI convention. Closure requires a non-empty evidence_notes field, creating a mandatory paper trail for every remediated control gap.</w:t>
            </w:r>
          </w:p>
        </w:tc>
        <w:tc>
          <w:tcPr>
            <w:tcW w:type="dxa" w:w="1400"/>
            <w:tcBorders>
              <w:top w:val="single" w:color="CCCCCC" w:sz="1"/>
              <w:left w:val="single" w:color="CCCCCC" w:sz="1"/>
              <w:bottom w:val="single" w:color="CCCCCC" w:sz="1"/>
              <w:right w:val="single" w:color="CCCCCC" w:sz="1"/>
            </w:tcBorders>
            <w:shd w:fill="1A7A6E"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Active</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Vulnerability Management</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Dependency scanning and security patching cadence in place. Third-party dependencies reviewed for known CVEs prior to inclusion.</w:t>
            </w:r>
          </w:p>
        </w:tc>
        <w:tc>
          <w:tcPr>
            <w:tcW w:type="dxa" w:w="1400"/>
            <w:tcBorders>
              <w:top w:val="single" w:color="CCCCCC" w:sz="1"/>
              <w:left w:val="single" w:color="CCCCCC" w:sz="1"/>
              <w:bottom w:val="single" w:color="CCCCCC" w:sz="1"/>
              <w:right w:val="single" w:color="CCCCCC" w:sz="1"/>
            </w:tcBorders>
            <w:shd w:fill="1A7A6E"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Active</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SOC 2 Certification</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SOC 2 Type I audit planned; target timeline to be confirmed. Security hardening in v1.3 was designed to align with SOC 2 Trust Services Criteria (Security, Confidentiality, Availability). Readiness assessment in progress.</w:t>
            </w:r>
          </w:p>
        </w:tc>
        <w:tc>
          <w:tcPr>
            <w:tcW w:type="dxa" w:w="1400"/>
            <w:tcBorders>
              <w:top w:val="single" w:color="CCCCCC" w:sz="1"/>
              <w:left w:val="single" w:color="CCCCCC" w:sz="1"/>
              <w:bottom w:val="single" w:color="CCCCCC" w:sz="1"/>
              <w:right w:val="single" w:color="CCCCCC" w:sz="1"/>
            </w:tcBorders>
            <w:shd w:fill="D6E8F5" w:val="clear"/>
            <w:tcMar>
              <w:top w:type="dxa" w:w="100"/>
              <w:left w:type="dxa" w:w="100"/>
              <w:bottom w:type="dxa" w:w="100"/>
              <w:right w:type="dxa" w:w="100"/>
            </w:tcMar>
            <w:vAlign w:val="center"/>
          </w:tcPr>
          <w:p>
            <w:pPr>
              <w:spacing w:after="0" w:before="0"/>
              <w:jc w:val="center"/>
            </w:pPr>
            <w:r>
              <w:rPr>
                <w:rFonts w:ascii="Arial" w:cs="Arial" w:eastAsia="Arial" w:hAnsi="Arial"/>
                <w:b/>
                <w:bCs/>
                <w:color w:val="1B3A5C"/>
                <w:sz w:val="18"/>
                <w:szCs w:val="18"/>
              </w:rPr>
              <w:t xml:space="preserve">In Progress</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Login Event Audit Trail</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Every authentication event is written to an append-only login_events table in the database. Captured events: login_success, login_failure, login_locked (account lockout), login_blocked (IP rate limit), logout, register_success, register_blocked, password_reset, and reset_blocked. Each record includes the event type, email attempted, resolved user and tenant IDs (where available), source IP address, user agent string, and UTC timestamp. Satisfies SOC 2 CC7.2 (monitoring of logical access attempts). Records are purged as part of full tenant deletion only.</w:t>
            </w:r>
          </w:p>
        </w:tc>
        <w:tc>
          <w:tcPr>
            <w:tcW w:type="dxa" w:w="1400"/>
            <w:tcBorders>
              <w:top w:val="single" w:color="CCCCCC" w:sz="1"/>
              <w:left w:val="single" w:color="CCCCCC" w:sz="1"/>
              <w:bottom w:val="single" w:color="CCCCCC" w:sz="1"/>
              <w:right w:val="single" w:color="CCCCCC" w:sz="1"/>
            </w:tcBorders>
            <w:shd w:fill="1A7A6E"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Active</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Penetration Testing</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Third-party penetration test planned prior to general availability. Results will be made available to enterprise pilot partners under NDA.</w:t>
            </w:r>
          </w:p>
        </w:tc>
        <w:tc>
          <w:tcPr>
            <w:tcW w:type="dxa" w:w="1400"/>
            <w:tcBorders>
              <w:top w:val="single" w:color="CCCCCC" w:sz="1"/>
              <w:left w:val="single" w:color="CCCCCC" w:sz="1"/>
              <w:bottom w:val="single" w:color="CCCCCC" w:sz="1"/>
              <w:right w:val="single" w:color="CCCCCC" w:sz="1"/>
            </w:tcBorders>
            <w:shd w:fill="D6E8F5" w:val="clear"/>
            <w:tcMar>
              <w:top w:type="dxa" w:w="100"/>
              <w:left w:type="dxa" w:w="100"/>
              <w:bottom w:type="dxa" w:w="100"/>
              <w:right w:type="dxa" w:w="100"/>
            </w:tcMar>
            <w:vAlign w:val="center"/>
          </w:tcPr>
          <w:p>
            <w:pPr>
              <w:spacing w:after="0" w:before="0"/>
              <w:jc w:val="center"/>
            </w:pPr>
            <w:r>
              <w:rPr>
                <w:rFonts w:ascii="Arial" w:cs="Arial" w:eastAsia="Arial" w:hAnsi="Arial"/>
                <w:b/>
                <w:bCs/>
                <w:color w:val="1B3A5C"/>
                <w:sz w:val="18"/>
                <w:szCs w:val="18"/>
              </w:rPr>
              <w:t xml:space="preserve">Planned</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Password Reset Security — v1.3</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Forgot-password flow rate-limited to 5 requests per IP per hour. Reset links are signed JWTs scoped exclusively to password-reset (purpose=password_reset claim) and expire after 30 minutes — they cannot be used as login tokens. Response always returns HTTP 200 regardless of whether the email is registered, preventing user-enumeration attacks. Password strength rules (12+ chars, upper, lower, digit) are re-enforced on reset, not only at registration.</w:t>
            </w:r>
          </w:p>
        </w:tc>
        <w:tc>
          <w:tcPr>
            <w:tcW w:type="dxa" w:w="1400"/>
            <w:tcBorders>
              <w:top w:val="single" w:color="CCCCCC" w:sz="1"/>
              <w:left w:val="single" w:color="CCCCCC" w:sz="1"/>
              <w:bottom w:val="single" w:color="CCCCCC" w:sz="1"/>
              <w:right w:val="single" w:color="CCCCCC" w:sz="1"/>
            </w:tcBorders>
            <w:shd w:fill="B8860B"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Enhanced</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Evidence File Attachments</w:t>
            </w:r>
          </w:p>
        </w:tc>
        <w:tc>
          <w:tcPr>
            <w:tcW w:type="dxa" w:w="60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Remediation evidence files attached to gap items are stored in a private Supabase Storage bucket (gap-evidence). Files are not publicly accessible. Download links are time-limited signed URLs generated on demand with a 1-hour expiry — no permanent public URLs are issued. Storage paths are tenant-isolated ({tenant_id}/{gap_item_id}/{uuid}{ext}), preventing cross-tenant path guessing. Accepted file types: PDF, DOCX, DOC, XLSX, XLS, PNG, JPG, JPEG, TXT, CSV. Maximum file size: 25 MB. File metadata (filename, uploader, timestamp) is logged to the audit trail.</w:t>
            </w:r>
          </w:p>
        </w:tc>
        <w:tc>
          <w:tcPr>
            <w:tcW w:type="dxa" w:w="1400"/>
            <w:tcBorders>
              <w:top w:val="single" w:color="CCCCCC" w:sz="1"/>
              <w:left w:val="single" w:color="CCCCCC" w:sz="1"/>
              <w:bottom w:val="single" w:color="CCCCCC" w:sz="1"/>
              <w:right w:val="single" w:color="CCCCCC" w:sz="1"/>
            </w:tcBorders>
            <w:shd w:fill="1A7A6E" w:val="clear"/>
            <w:tcMar>
              <w:top w:type="dxa" w:w="100"/>
              <w:left w:type="dxa" w:w="100"/>
              <w:bottom w:type="dxa" w:w="100"/>
              <w:right w:type="dxa" w:w="100"/>
            </w:tcMar>
            <w:vAlign w:val="center"/>
          </w:tcPr>
          <w:p>
            <w:pPr>
              <w:spacing w:after="0" w:before="0"/>
              <w:jc w:val="center"/>
            </w:pPr>
            <w:r>
              <w:rPr>
                <w:rFonts w:ascii="Arial" w:cs="Arial" w:eastAsia="Arial" w:hAnsi="Arial"/>
                <w:b/>
                <w:bCs/>
                <w:color w:val="FFFFFF"/>
                <w:sz w:val="18"/>
                <w:szCs w:val="18"/>
              </w:rPr>
              <w:t xml:space="preserve">Active</w:t>
            </w:r>
          </w:p>
        </w:tc>
      </w:tr>
    </w:tbl>
    <w:p>
      <w:pPr>
        <w:spacing w:after="8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900"/>
        <w:gridCol w:w="2700"/>
        <w:gridCol w:w="900"/>
        <w:gridCol w:w="2880"/>
      </w:tblGrid>
      <w:tr>
        <w:tc>
          <w:tcPr>
            <w:tcW w:type="dxa" w:w="900"/>
            <w:tcBorders>
              <w:top w:val="single" w:color="CCCCCC" w:sz="1"/>
              <w:left w:val="single" w:color="CCCCCC" w:sz="1"/>
              <w:bottom w:val="single" w:color="CCCCCC" w:sz="1"/>
              <w:right w:val="single" w:color="CCCCCC" w:sz="1"/>
            </w:tcBorders>
            <w:shd w:fill="1A7A6E" w:val="clear"/>
            <w:tcMar>
              <w:top w:type="dxa" w:w="60"/>
              <w:left w:type="dxa" w:w="80"/>
              <w:bottom w:type="dxa" w:w="60"/>
              <w:right w:type="dxa" w:w="80"/>
            </w:tcMar>
          </w:tcPr>
          <w:p>
            <w:pPr>
              <w:jc w:val="center"/>
            </w:pPr>
            <w:r>
              <w:rPr>
                <w:rFonts w:ascii="Arial" w:cs="Arial" w:eastAsia="Arial" w:hAnsi="Arial"/>
                <w:b/>
                <w:bCs/>
                <w:color w:val="FFFFFF"/>
                <w:sz w:val="16"/>
                <w:szCs w:val="16"/>
              </w:rPr>
              <w:t xml:space="preserve">Active</w:t>
            </w:r>
          </w:p>
        </w:tc>
        <w:tc>
          <w:tcPr>
            <w:tcW w:type="dxa" w:w="270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Arial" w:cs="Arial" w:eastAsia="Arial" w:hAnsi="Arial"/>
                <w:color w:val="1A1A1A"/>
                <w:sz w:val="16"/>
                <w:szCs w:val="16"/>
              </w:rPr>
              <w:t xml:space="preserve">Control is live and operating</w:t>
            </w:r>
          </w:p>
        </w:tc>
        <w:tc>
          <w:tcPr>
            <w:tcW w:type="dxa" w:w="900"/>
            <w:tcBorders>
              <w:top w:val="single" w:color="CCCCCC" w:sz="1"/>
              <w:left w:val="single" w:color="CCCCCC" w:sz="1"/>
              <w:bottom w:val="single" w:color="CCCCCC" w:sz="1"/>
              <w:right w:val="single" w:color="CCCCCC" w:sz="1"/>
            </w:tcBorders>
            <w:shd w:fill="B8860B" w:val="clear"/>
            <w:tcMar>
              <w:top w:type="dxa" w:w="60"/>
              <w:left w:type="dxa" w:w="80"/>
              <w:bottom w:type="dxa" w:w="60"/>
              <w:right w:type="dxa" w:w="80"/>
            </w:tcMar>
          </w:tcPr>
          <w:p>
            <w:pPr>
              <w:jc w:val="center"/>
            </w:pPr>
            <w:r>
              <w:rPr>
                <w:rFonts w:ascii="Arial" w:cs="Arial" w:eastAsia="Arial" w:hAnsi="Arial"/>
                <w:b/>
                <w:bCs/>
                <w:color w:val="FFFFFF"/>
                <w:sz w:val="16"/>
                <w:szCs w:val="16"/>
              </w:rPr>
              <w:t xml:space="preserve">Enhanced</w:t>
            </w:r>
          </w:p>
        </w:tc>
        <w:tc>
          <w:tcPr>
            <w:tcW w:type="dxa" w:w="270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Arial" w:cs="Arial" w:eastAsia="Arial" w:hAnsi="Arial"/>
                <w:color w:val="1A1A1A"/>
                <w:sz w:val="16"/>
                <w:szCs w:val="16"/>
              </w:rPr>
              <w:t xml:space="preserve">Strengthened in v1.3 (April 2026) or v1.5 (May 2026)</w:t>
            </w:r>
          </w:p>
        </w:tc>
        <w:tc>
          <w:tcPr>
            <w:tcW w:type="dxa" w:w="900"/>
            <w:tcBorders>
              <w:top w:val="single" w:color="CCCCCC" w:sz="1"/>
              <w:left w:val="single" w:color="CCCCCC" w:sz="1"/>
              <w:bottom w:val="single" w:color="CCCCCC" w:sz="1"/>
              <w:right w:val="single" w:color="CCCCCC" w:sz="1"/>
            </w:tcBorders>
            <w:shd w:fill="D6E8F5" w:val="clear"/>
            <w:tcMar>
              <w:top w:type="dxa" w:w="60"/>
              <w:left w:type="dxa" w:w="80"/>
              <w:bottom w:type="dxa" w:w="60"/>
              <w:right w:type="dxa" w:w="80"/>
            </w:tcMar>
          </w:tcPr>
          <w:p>
            <w:pPr>
              <w:jc w:val="center"/>
            </w:pPr>
            <w:r>
              <w:rPr>
                <w:rFonts w:ascii="Arial" w:cs="Arial" w:eastAsia="Arial" w:hAnsi="Arial"/>
                <w:b/>
                <w:bCs/>
                <w:color w:val="1B3A5C"/>
                <w:sz w:val="16"/>
                <w:szCs w:val="16"/>
              </w:rPr>
              <w:t xml:space="preserve">Planned</w:t>
            </w:r>
          </w:p>
        </w:tc>
        <w:tc>
          <w:tcPr>
            <w:tcW w:type="dxa" w:w="288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Arial" w:cs="Arial" w:eastAsia="Arial" w:hAnsi="Arial"/>
                <w:color w:val="1A1A1A"/>
                <w:sz w:val="16"/>
                <w:szCs w:val="16"/>
              </w:rPr>
              <w:t xml:space="preserve">Scheduled; not yet active</w:t>
            </w:r>
          </w:p>
        </w:tc>
      </w:tr>
    </w:tbl>
    <w:p>
      <w:pPr>
        <w:spacing w:after="120" w:before="0"/>
      </w:pPr>
    </w:p>
    <w:p>
      <w:pPr>
        <w:pStyle w:val="Heading1"/>
        <w:spacing w:after="120" w:before="320"/>
      </w:pPr>
      <w:r>
        <w:rPr>
          <w:rFonts w:ascii="Arial" w:cs="Arial" w:eastAsia="Arial" w:hAnsi="Arial"/>
          <w:b/>
          <w:bCs/>
          <w:color w:val="1B3A5C"/>
          <w:sz w:val="28"/>
          <w:szCs w:val="28"/>
        </w:rPr>
        <w:t xml:space="preserve">3.  Data Retention and Deletion</w:t>
      </w:r>
    </w:p>
    <w:p>
      <w:pPr>
        <w:pBdr>
          <w:bottom w:val="single" w:color="D6E8F5" w:sz="8" w:space="1"/>
        </w:pBdr>
        <w:spacing w:after="0" w:before="0"/>
      </w:pPr>
    </w:p>
    <w:p>
      <w:pPr>
        <w:spacing w:after="80" w:before="0"/>
      </w:pPr>
    </w:p>
    <w:p>
      <w:pPr>
        <w:spacing w:after="120" w:before="0"/>
      </w:pPr>
      <w:r>
        <w:rPr>
          <w:rFonts w:ascii="Arial" w:cs="Arial" w:eastAsia="Arial" w:hAnsi="Arial"/>
          <w:color w:val="1A1A1A"/>
          <w:sz w:val="22"/>
          <w:szCs w:val="22"/>
        </w:rPr>
        <w:t xml:space="preserve">Audit Align retains institution-submitted control data, evidence files, and mapping results for the duration of the institution’s active account or pilot engagement. The following retention and deletion practices apply:</w:t>
      </w:r>
    </w:p>
    <w:p>
      <w:pPr>
        <w:spacing w:after="60" w:before="0"/>
      </w:pPr>
    </w:p>
    <w:p>
      <w:pPr>
        <w:pStyle w:val="ListParagraph"/>
        <w:numPr>
          <w:ilvl w:val="0"/>
          <w:numId w:val="2"/>
        </w:numPr>
        <w:spacing w:after="40" w:before="40"/>
      </w:pPr>
      <w:r>
        <w:rPr>
          <w:rFonts w:ascii="Arial" w:cs="Arial" w:eastAsia="Arial" w:hAnsi="Arial"/>
          <w:color w:val="1A1A1A"/>
          <w:sz w:val="22"/>
          <w:szCs w:val="22"/>
        </w:rPr>
        <w:t xml:space="preserve">Institution data is retained in active storage for the duration of the account or pilot agreement</w:t>
      </w:r>
    </w:p>
    <w:p>
      <w:pPr>
        <w:pStyle w:val="ListParagraph"/>
        <w:numPr>
          <w:ilvl w:val="0"/>
          <w:numId w:val="2"/>
        </w:numPr>
        <w:spacing w:after="40" w:before="40"/>
      </w:pPr>
      <w:r>
        <w:rPr>
          <w:rFonts w:ascii="Arial" w:cs="Arial" w:eastAsia="Arial" w:hAnsi="Arial"/>
          <w:color w:val="1A1A1A"/>
          <w:sz w:val="22"/>
          <w:szCs w:val="22"/>
        </w:rPr>
        <w:t xml:space="preserve">Upon account closure or pilot conclusion, institution data is purged from active systems within 30 days</w:t>
      </w:r>
    </w:p>
    <w:p>
      <w:pPr>
        <w:pStyle w:val="ListParagraph"/>
        <w:numPr>
          <w:ilvl w:val="0"/>
          <w:numId w:val="2"/>
        </w:numPr>
        <w:spacing w:after="40" w:before="40"/>
      </w:pPr>
      <w:r>
        <w:rPr>
          <w:rFonts w:ascii="Arial" w:cs="Arial" w:eastAsia="Arial" w:hAnsi="Arial"/>
          <w:color w:val="1A1A1A"/>
          <w:sz w:val="22"/>
          <w:szCs w:val="22"/>
        </w:rPr>
        <w:t xml:space="preserve">Audit log records may be retained for up to 12 months for security and compliance purposes, after which they are deleted or anonymized</w:t>
      </w:r>
    </w:p>
    <w:p>
      <w:pPr>
        <w:pStyle w:val="ListParagraph"/>
        <w:numPr>
          <w:ilvl w:val="0"/>
          <w:numId w:val="2"/>
        </w:numPr>
        <w:spacing w:after="40" w:before="40"/>
      </w:pPr>
      <w:r>
        <w:rPr>
          <w:rFonts w:ascii="Arial" w:cs="Arial" w:eastAsia="Arial" w:hAnsi="Arial"/>
          <w:color w:val="1A1A1A"/>
          <w:sz w:val="22"/>
          <w:szCs w:val="22"/>
        </w:rPr>
        <w:t xml:space="preserve">Data deletion requests submitted in writing will be honored within 30 days; Audit Align will confirm deletion in writing upon completion</w:t>
      </w:r>
    </w:p>
    <w:p>
      <w:pPr>
        <w:pStyle w:val="ListParagraph"/>
        <w:numPr>
          <w:ilvl w:val="0"/>
          <w:numId w:val="2"/>
        </w:numPr>
        <w:spacing w:after="40" w:before="40"/>
      </w:pPr>
      <w:r>
        <w:rPr>
          <w:rFonts w:ascii="Arial" w:cs="Arial" w:eastAsia="Arial" w:hAnsi="Arial"/>
          <w:color w:val="1A1A1A"/>
          <w:sz w:val="22"/>
          <w:szCs w:val="22"/>
        </w:rPr>
        <w:t xml:space="preserve">Backup copies of data are retained for up to 30 days following deletion from active systems, after which they are permanently destroyed</w:t>
      </w:r>
    </w:p>
    <w:p>
      <w:pPr>
        <w:pStyle w:val="ListParagraph"/>
        <w:numPr>
          <w:ilvl w:val="0"/>
          <w:numId w:val="2"/>
        </w:numPr>
        <w:spacing w:after="40" w:before="40"/>
      </w:pPr>
      <w:r>
        <w:rPr>
          <w:rFonts w:ascii="Arial" w:cs="Arial" w:eastAsia="Arial" w:hAnsi="Arial"/>
          <w:color w:val="1A1A1A"/>
          <w:sz w:val="22"/>
          <w:szCs w:val="22"/>
        </w:rPr>
        <w:t xml:space="preserve">Institutions may trigger immediate self-service account deletion from within the platform. Deletion requires password confirmation and permanently removes all tenant data, including control mappings, gap items, evidence notes, and audit log records</w:t>
      </w:r>
    </w:p>
    <w:p>
      <w:pPr>
        <w:spacing w:after="120" w:before="0"/>
      </w:pPr>
    </w:p>
    <w:p>
      <w:pPr>
        <w:pStyle w:val="Heading1"/>
        <w:spacing w:after="120" w:before="320"/>
      </w:pPr>
      <w:r>
        <w:rPr>
          <w:rFonts w:ascii="Arial" w:cs="Arial" w:eastAsia="Arial" w:hAnsi="Arial"/>
          <w:b/>
          <w:bCs/>
          <w:color w:val="1B3A5C"/>
          <w:sz w:val="28"/>
          <w:szCs w:val="28"/>
        </w:rPr>
        <w:t xml:space="preserve">4.  Incident Response &amp; Breach Notification</w:t>
      </w:r>
    </w:p>
    <w:p>
      <w:pPr>
        <w:pBdr>
          <w:bottom w:val="single" w:color="D6E8F5" w:sz="8" w:space="1"/>
        </w:pBdr>
        <w:spacing w:after="0" w:before="0"/>
      </w:pPr>
    </w:p>
    <w:p>
      <w:pPr>
        <w:spacing w:after="80" w:before="0"/>
      </w:pPr>
    </w:p>
    <w:p>
      <w:pPr>
        <w:spacing w:after="120" w:before="0"/>
      </w:pPr>
      <w:r>
        <w:rPr>
          <w:rFonts w:ascii="Arial" w:cs="Arial" w:eastAsia="Arial" w:hAnsi="Arial"/>
          <w:color w:val="1A1A1A"/>
          <w:sz w:val="22"/>
          <w:szCs w:val="22"/>
        </w:rPr>
        <w:t xml:space="preserve">Audit Align maintains an internal incident response procedure. In the event of a confirmed data security incident affecting pilot partner data, Audit Align commits to:</w:t>
      </w:r>
    </w:p>
    <w:p>
      <w:pPr>
        <w:spacing w:after="60" w:before="0"/>
      </w:pPr>
    </w:p>
    <w:p>
      <w:pPr>
        <w:pStyle w:val="ListParagraph"/>
        <w:numPr>
          <w:ilvl w:val="0"/>
          <w:numId w:val="2"/>
        </w:numPr>
        <w:spacing w:after="40" w:before="40"/>
      </w:pPr>
      <w:r>
        <w:rPr>
          <w:rFonts w:ascii="Arial" w:cs="Arial" w:eastAsia="Arial" w:hAnsi="Arial"/>
          <w:color w:val="1A1A1A"/>
          <w:sz w:val="22"/>
          <w:szCs w:val="22"/>
        </w:rPr>
        <w:t xml:space="preserve">Notify affected pilot partners within 72 hours of confirmed incident discovery</w:t>
      </w:r>
    </w:p>
    <w:p>
      <w:pPr>
        <w:pStyle w:val="ListParagraph"/>
        <w:numPr>
          <w:ilvl w:val="0"/>
          <w:numId w:val="2"/>
        </w:numPr>
        <w:spacing w:after="40" w:before="40"/>
      </w:pPr>
      <w:r>
        <w:rPr>
          <w:rFonts w:ascii="Arial" w:cs="Arial" w:eastAsia="Arial" w:hAnsi="Arial"/>
          <w:color w:val="1A1A1A"/>
          <w:sz w:val="22"/>
          <w:szCs w:val="22"/>
        </w:rPr>
        <w:t xml:space="preserve">Provide a written incident summary including scope, affected data, and remediation steps</w:t>
      </w:r>
    </w:p>
    <w:p>
      <w:pPr>
        <w:pStyle w:val="ListParagraph"/>
        <w:numPr>
          <w:ilvl w:val="0"/>
          <w:numId w:val="2"/>
        </w:numPr>
        <w:spacing w:after="40" w:before="40"/>
      </w:pPr>
      <w:r>
        <w:rPr>
          <w:rFonts w:ascii="Arial" w:cs="Arial" w:eastAsia="Arial" w:hAnsi="Arial"/>
          <w:color w:val="1A1A1A"/>
          <w:sz w:val="22"/>
          <w:szCs w:val="22"/>
        </w:rPr>
        <w:t xml:space="preserve">Cooperate fully with any regulatory notification obligations of the affected institution</w:t>
      </w:r>
    </w:p>
    <w:p>
      <w:pPr>
        <w:pStyle w:val="ListParagraph"/>
        <w:numPr>
          <w:ilvl w:val="0"/>
          <w:numId w:val="2"/>
        </w:numPr>
        <w:spacing w:after="40" w:before="40"/>
      </w:pPr>
      <w:r>
        <w:rPr>
          <w:rFonts w:ascii="Arial" w:cs="Arial" w:eastAsia="Arial" w:hAnsi="Arial"/>
          <w:color w:val="1A1A1A"/>
          <w:sz w:val="22"/>
          <w:szCs w:val="22"/>
        </w:rPr>
        <w:t xml:space="preserve">Conduct a post-incident review and share findings relevant to the partner</w:t>
      </w:r>
    </w:p>
    <w:p>
      <w:pPr>
        <w:spacing w:after="120" w:before="0"/>
      </w:pPr>
    </w:p>
    <w:p>
      <w:pPr>
        <w:pStyle w:val="Heading1"/>
        <w:spacing w:after="120" w:before="320"/>
      </w:pPr>
      <w:r>
        <w:rPr>
          <w:rFonts w:ascii="Arial" w:cs="Arial" w:eastAsia="Arial" w:hAnsi="Arial"/>
          <w:b/>
          <w:bCs/>
          <w:color w:val="1B3A5C"/>
          <w:sz w:val="28"/>
          <w:szCs w:val="28"/>
        </w:rPr>
        <w:t xml:space="preserve">5.  Third-Party Dependencies</w:t>
      </w:r>
    </w:p>
    <w:p>
      <w:pPr>
        <w:pBdr>
          <w:bottom w:val="single" w:color="D6E8F5" w:sz="8" w:space="1"/>
        </w:pBdr>
        <w:spacing w:after="0" w:before="0"/>
      </w:pPr>
    </w:p>
    <w:p>
      <w:pPr>
        <w:spacing w:after="80" w:before="0"/>
      </w:pPr>
    </w:p>
    <w:p>
      <w:pPr>
        <w:spacing w:after="120" w:before="0"/>
      </w:pPr>
      <w:r>
        <w:rPr>
          <w:rFonts w:ascii="Arial" w:cs="Arial" w:eastAsia="Arial" w:hAnsi="Arial"/>
          <w:color w:val="1A1A1A"/>
          <w:sz w:val="22"/>
          <w:szCs w:val="22"/>
        </w:rPr>
        <w:t xml:space="preserve">Audit Align utilizes select third-party cloud infrastructure and service providers. All third-party providers are evaluated for security posture prior to integration. Material sub-processors include:</w:t>
      </w:r>
    </w:p>
    <w:p>
      <w:pPr>
        <w:spacing w:after="60" w:before="0"/>
      </w:pPr>
    </w:p>
    <w:p>
      <w:pPr>
        <w:pStyle w:val="ListParagraph"/>
        <w:numPr>
          <w:ilvl w:val="0"/>
          <w:numId w:val="2"/>
        </w:numPr>
        <w:spacing w:after="40" w:before="40"/>
      </w:pPr>
      <w:r>
        <w:rPr>
          <w:rFonts w:ascii="Arial" w:cs="Arial" w:eastAsia="Arial" w:hAnsi="Arial"/>
          <w:b/>
          <w:bCs/>
          <w:color w:val="1A1A1A"/>
          <w:sz w:val="22"/>
          <w:szCs w:val="22"/>
        </w:rPr>
        <w:t xml:space="preserve">Railway: </w:t>
      </w:r>
      <w:r>
        <w:rPr>
          <w:rFonts w:ascii="Arial" w:cs="Arial" w:eastAsia="Arial" w:hAnsi="Arial"/>
          <w:color w:val="1A1A1A"/>
          <w:sz w:val="22"/>
          <w:szCs w:val="22"/>
        </w:rPr>
        <w:t xml:space="preserve">Railway (application runtime and deployment infrastructure). Railway maintains SOC 2 Type II certification. Note: the primary PostgreSQL database was migrated from Railway to Supabase in v1.5; Railway is retained for application hosting.</w:t>
      </w:r>
    </w:p>
    <w:p>
      <w:pPr>
        <w:pStyle w:val="ListParagraph"/>
        <w:numPr>
          <w:ilvl w:val="0"/>
          <w:numId w:val="2"/>
        </w:numPr>
        <w:spacing w:after="40" w:before="40"/>
      </w:pPr>
      <w:r>
        <w:rPr>
          <w:rFonts w:ascii="Arial" w:cs="Arial" w:eastAsia="Arial" w:hAnsi="Arial"/>
          <w:b/>
          <w:bCs/>
          <w:color w:val="1A1A1A"/>
          <w:sz w:val="22"/>
          <w:szCs w:val="22"/>
        </w:rPr>
        <w:t xml:space="preserve">Google Gemini: </w:t>
      </w:r>
      <w:r>
        <w:rPr>
          <w:rFonts w:ascii="Arial" w:cs="Arial" w:eastAsia="Arial" w:hAnsi="Arial"/>
          <w:color w:val="1A1A1A"/>
          <w:sz w:val="22"/>
          <w:szCs w:val="22"/>
        </w:rPr>
        <w:t xml:space="preserve">Google Gemini API (AI-generated rationale text for control gap analysis only). Control data is transmitted to Google’s API solely for rationale generation and is not retained by Google for model training under our API agreement.</w:t>
      </w:r>
    </w:p>
    <w:p>
      <w:pPr>
        <w:pStyle w:val="ListParagraph"/>
        <w:numPr>
          <w:ilvl w:val="0"/>
          <w:numId w:val="2"/>
        </w:numPr>
        <w:spacing w:after="40" w:before="40"/>
      </w:pPr>
      <w:r>
        <w:rPr>
          <w:rFonts w:ascii="Arial" w:cs="Arial" w:eastAsia="Arial" w:hAnsi="Arial"/>
          <w:b/>
          <w:bCs/>
          <w:color w:val="1A1A1A"/>
          <w:sz w:val="22"/>
          <w:szCs w:val="22"/>
        </w:rPr>
        <w:t xml:space="preserve">Resend: </w:t>
      </w:r>
      <w:r>
        <w:rPr>
          <w:rFonts w:ascii="Arial" w:cs="Arial" w:eastAsia="Arial" w:hAnsi="Arial"/>
          <w:color w:val="1A1A1A"/>
          <w:sz w:val="22"/>
          <w:szCs w:val="22"/>
        </w:rPr>
        <w:t xml:space="preserve">Resend (transactional email for lead notifications only — no institution control data is transmitted).</w:t>
      </w:r>
    </w:p>
    <w:p>
      <w:pPr>
        <w:pStyle w:val="ListParagraph"/>
        <w:numPr>
          <w:ilvl w:val="0"/>
          <w:numId w:val="1"/>
        </w:numPr>
        <w:spacing w:after="80" w:before="0"/>
      </w:pPr>
      <w:r>
        <w:rPr>
          <w:rFonts w:ascii="Arial" w:cs="Arial" w:eastAsia="Arial" w:hAnsi="Arial"/>
          <w:b/>
          <w:bCs/>
          <w:color w:val="1B3A5C"/>
          <w:sz w:val="22"/>
          <w:szCs w:val="22"/>
        </w:rPr>
        <w:t xml:space="preserve">Supabase: </w:t>
      </w:r>
      <w:r>
        <w:rPr>
          <w:rFonts w:ascii="Arial" w:cs="Arial" w:eastAsia="Arial" w:hAnsi="Arial"/>
          <w:color w:val="1A1A1A"/>
          <w:sz w:val="22"/>
          <w:szCs w:val="22"/>
        </w:rPr>
        <w:t xml:space="preserve">Supabase (primary PostgreSQL database and evidence file storage). As of v1.5, all institution control data, gap items, audit log records, and user account information are stored in Supabase’s managed PostgreSQL database (AWS us-east-1, North Virginia, United States). Supabase holds SOC 2 Type II and ISO 27001 certifications; compliance documentation is available on request. In addition, remediation evidence file bytes are stored in a private Supabase Storage bucket (gap-evidence). Files are not publicly accessible; download links are time-limited signed URLs generated on demand with a 1-hour expiry. Storage paths are tenant-isolated ({tenant_id}/{gap_item_id}/{uuid}{ext}), preventing cross-tenant path guessing. Access is controlled via a server-side service key held as a deployment secret.</w:t>
      </w:r>
    </w:p>
    <w:p>
      <w:pPr>
        <w:spacing w:after="120" w:before="0"/>
      </w:pPr>
      <w:r>
        <w:rPr>
          <w:rFonts w:ascii="Arial" w:cs="Arial" w:eastAsia="Arial" w:hAnsi="Arial"/>
          <w:color w:val="1A1A1A"/>
          <w:sz w:val="22"/>
          <w:szCs w:val="22"/>
        </w:rPr>
        <w:t xml:space="preserve">A complete list of material sub-processors is available upon request during the pilot evaluation process.</w:t>
      </w:r>
    </w:p>
    <w:p>
      <w:pPr>
        <w:spacing w:after="120" w:before="0"/>
      </w:pPr>
    </w:p>
    <w:p>
      <w:pPr>
        <w:pStyle w:val="Heading1"/>
        <w:spacing w:after="120" w:before="320"/>
      </w:pPr>
      <w:r>
        <w:rPr>
          <w:rFonts w:ascii="Arial" w:cs="Arial" w:eastAsia="Arial" w:hAnsi="Arial"/>
          <w:b/>
          <w:bCs/>
          <w:color w:val="1B3A5C"/>
          <w:sz w:val="28"/>
          <w:szCs w:val="28"/>
        </w:rPr>
        <w:t xml:space="preserve">6.  Pilot-Specific Commitments</w:t>
      </w:r>
    </w:p>
    <w:p>
      <w:pPr>
        <w:pBdr>
          <w:bottom w:val="single" w:color="D6E8F5" w:sz="8" w:space="1"/>
        </w:pBdr>
        <w:spacing w:after="0" w:before="0"/>
      </w:pPr>
    </w:p>
    <w:p>
      <w:pPr>
        <w:spacing w:after="8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rPr>
          <w:tblHeader/>
        </w:trPr>
        <w:tc>
          <w:tcPr>
            <w:tcW w:type="dxa" w:w="2600"/>
            <w:tcBorders>
              <w:top w:val="single" w:color="1B3A5C" w:sz="1"/>
              <w:left w:val="single" w:color="1B3A5C" w:sz="1"/>
              <w:bottom w:val="single" w:color="1B3A5C" w:sz="1"/>
              <w:right w:val="single" w:color="1B3A5C" w:sz="1"/>
            </w:tcBorders>
            <w:shd w:fill="1B3A5C" w:val="clear"/>
            <w:tcMar>
              <w:top w:type="dxa" w:w="100"/>
              <w:left w:type="dxa" w:w="140"/>
              <w:bottom w:type="dxa" w:w="100"/>
              <w:right w:type="dxa" w:w="140"/>
            </w:tcMar>
            <w:vAlign w:val="center"/>
          </w:tcPr>
          <w:p>
            <w:pPr>
              <w:spacing w:after="0" w:before="0"/>
            </w:pPr>
            <w:r>
              <w:rPr>
                <w:rFonts w:ascii="Arial" w:cs="Arial" w:eastAsia="Arial" w:hAnsi="Arial"/>
                <w:b/>
                <w:bCs/>
                <w:color w:val="FFFFFF"/>
                <w:sz w:val="20"/>
                <w:szCs w:val="20"/>
              </w:rPr>
              <w:t xml:space="preserve">Commitment</w:t>
            </w:r>
          </w:p>
        </w:tc>
        <w:tc>
          <w:tcPr>
            <w:tcW w:type="dxa" w:w="7480"/>
            <w:tcBorders>
              <w:top w:val="single" w:color="1B3A5C" w:sz="1"/>
              <w:left w:val="single" w:color="1B3A5C" w:sz="1"/>
              <w:bottom w:val="single" w:color="1B3A5C" w:sz="1"/>
              <w:right w:val="single" w:color="1B3A5C" w:sz="1"/>
            </w:tcBorders>
            <w:shd w:fill="1B3A5C" w:val="clear"/>
            <w:tcMar>
              <w:top w:type="dxa" w:w="100"/>
              <w:left w:type="dxa" w:w="140"/>
              <w:bottom w:type="dxa" w:w="100"/>
              <w:right w:type="dxa" w:w="140"/>
            </w:tcMar>
            <w:vAlign w:val="center"/>
          </w:tcPr>
          <w:p>
            <w:pPr>
              <w:spacing w:after="0" w:before="0"/>
            </w:pPr>
            <w:r>
              <w:rPr>
                <w:rFonts w:ascii="Arial" w:cs="Arial" w:eastAsia="Arial" w:hAnsi="Arial"/>
                <w:b/>
                <w:bCs/>
                <w:color w:val="FFFFFF"/>
                <w:sz w:val="20"/>
                <w:szCs w:val="20"/>
              </w:rPr>
              <w:t xml:space="preserve">Detail</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No data resale</w:t>
            </w:r>
          </w:p>
        </w:tc>
        <w:tc>
          <w:tcPr>
            <w:tcW w:type="dxa" w:w="74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Institution control data, mapping results, and remediation evidence are never sold or shared with third parties for commercial purposes.</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Institutional data isolation</w:t>
            </w:r>
          </w:p>
        </w:tc>
        <w:tc>
          <w:tcPr>
            <w:tcW w:type="dxa" w:w="74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Each institution’s control data and evidence files are logically segregated at the database layer; no cross-institution data access is permitted under any circumstances.</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No AI training on your data</w:t>
            </w:r>
          </w:p>
        </w:tc>
        <w:tc>
          <w:tcPr>
            <w:tcW w:type="dxa" w:w="74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Institution-submitted control data is not used to train, fine-tune, or improve Audit Align’s AI models or any third-party models. Data submitted to the Gemini API for rationale generation is processed under a zero-retention API agreement.</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Evidence file handling</w:t>
            </w:r>
          </w:p>
        </w:tc>
        <w:tc>
          <w:tcPr>
            <w:tcW w:type="dxa" w:w="74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Remediation evidence files are stored in a private, tenant-isolated Supabase Storage bucket and are never publicly accessible. Control-text data (gap items, rationale, evidence notes) is additionally encrypted at the application layer with a per-tenant key before being stored in the database. Data is used solely for the institution’s audit documentation purposes.</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Data deletion on request</w:t>
            </w:r>
          </w:p>
        </w:tc>
        <w:tc>
          <w:tcPr>
            <w:tcW w:type="dxa" w:w="74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All institution data — controls, evidence files, and mapping outputs — will be deleted within 30 days of a written request or pilot conclusion.</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Security questionnaire support</w:t>
            </w:r>
          </w:p>
        </w:tc>
        <w:tc>
          <w:tcPr>
            <w:tcW w:type="dxa" w:w="74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Audit Align will respond to standard vendor security questionnaires (CAIQ, SIG Lite, or institution-specific) as part of the pilot onboarding process.</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vAlign w:val="center"/>
          </w:tcPr>
          <w:p>
            <w:pPr>
              <w:spacing w:after="0" w:before="0"/>
            </w:pPr>
            <w:r>
              <w:rPr>
                <w:rFonts w:ascii="Arial" w:cs="Arial" w:eastAsia="Arial" w:hAnsi="Arial"/>
                <w:b/>
                <w:bCs/>
                <w:color w:val="1B3A5C"/>
                <w:sz w:val="20"/>
                <w:szCs w:val="20"/>
              </w:rPr>
              <w:t xml:space="preserve">Confidentiality</w:t>
            </w:r>
          </w:p>
        </w:tc>
        <w:tc>
          <w:tcPr>
            <w:tcW w:type="dxa" w:w="748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spacing w:after="0" w:before="0"/>
            </w:pPr>
            <w:r>
              <w:rPr>
                <w:rFonts w:ascii="Arial" w:cs="Arial" w:eastAsia="Arial" w:hAnsi="Arial"/>
                <w:color w:val="1A1A1A"/>
                <w:sz w:val="20"/>
                <w:szCs w:val="20"/>
              </w:rPr>
              <w:t xml:space="preserve">Mutual NDA available upon request; pilot terms include standard confidentiality provisions.</w:t>
            </w:r>
          </w:p>
        </w:tc>
      </w:tr>
    </w:tbl>
    <w:p>
      <w:pPr>
        <w:spacing w:after="160" w:before="0"/>
      </w:pPr>
    </w:p>
    <w:p>
      <w:pPr>
        <w:pageBreakBefore/>
      </w:pPr>
    </w:p>
    <w:p>
      <w:pPr>
        <w:pStyle w:val="Heading1"/>
        <w:spacing w:after="120" w:before="320"/>
      </w:pPr>
      <w:r>
        <w:rPr>
          <w:rFonts w:ascii="Arial" w:cs="Arial" w:eastAsia="Arial" w:hAnsi="Arial"/>
          <w:b/>
          <w:bCs/>
          <w:color w:val="1B3A5C"/>
          <w:sz w:val="28"/>
          <w:szCs w:val="28"/>
        </w:rPr>
        <w:t xml:space="preserve">7.  Bank Security Q&amp;A</w:t>
      </w:r>
    </w:p>
    <w:p>
      <w:pPr>
        <w:pBdr>
          <w:bottom w:val="single" w:color="D6E8F5" w:sz="8" w:space="1"/>
        </w:pBdr>
        <w:spacing w:after="0" w:before="0"/>
      </w:pPr>
    </w:p>
    <w:p>
      <w:pPr>
        <w:spacing w:after="60" w:before="0"/>
      </w:pPr>
    </w:p>
    <w:p>
      <w:pPr>
        <w:spacing w:after="120" w:before="0"/>
      </w:pPr>
      <w:r>
        <w:rPr>
          <w:rFonts w:ascii="Arial" w:cs="Arial" w:eastAsia="Arial" w:hAnsi="Arial"/>
          <w:color w:val="1A1A1A"/>
          <w:sz w:val="22"/>
          <w:szCs w:val="22"/>
        </w:rPr>
        <w:t xml:space="preserve">The following questions represent the most common concerns raised by compliance officers, CISOs, and vendor risk teams at regulated financial institutions evaluating Audit Align. Each answer is specific to our current platform implementation.</w:t>
      </w:r>
    </w:p>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Who at Audit Align can see our internal control data?</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Nobody at Audit Align can read your control data — including engineers with direct database access. As of v1.5, all sensitive control-text fields are encrypted at the application layer before being written to the database. The encryption key is unique to your institution and is itself encrypted with a master key that exists only in the deployment environment, never in the database. If an engineer were to open the database directly, they would see only Fernet ciphertext (e.g., gAAAAABn...) — decrypting it requires simultaneous access to both the deployment environment secrets and the database, a combination that is logged and access-controlled.</w:t>
            </w:r>
          </w:p>
          <w:p>
            <w:pPr>
              <w:spacing w:after="80" w:before="0"/>
            </w:pPr>
            <w:r>
              <w:rPr>
                <w:rFonts w:ascii="Arial" w:cs="Arial" w:eastAsia="Arial" w:hAnsi="Arial"/>
                <w:color w:val="1A1A1A"/>
                <w:sz w:val="21"/>
                <w:szCs w:val="21"/>
              </w:rPr>
              <w:t xml:space="preserve">Tenant isolation is also enforced at the database query layer — every query is scoped by tenant_id derived from the authenticated session token, so there is no “view all institutions” interface even within the application. Access to production infrastructure is limited to the engineering team and is logged. During the pilot, we will document all personnel with theoretical access to the deployment environment and can provide that list on request.</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Can our control data be cross-referenced with or seen by other institutions on the platform?</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No. This is architecturally prevented, not just policy-restricted. Every single database query in the platform is filtered by tenant_id, which is derived from the authenticated session token — not from any user-supplied parameter. There is no API endpoint that returns data across tenant boundaries.</w:t>
            </w:r>
          </w:p>
          <w:p>
            <w:pPr>
              <w:spacing w:after="80" w:before="0"/>
            </w:pPr>
            <w:r>
              <w:rPr>
                <w:rFonts w:ascii="Arial" w:cs="Arial" w:eastAsia="Arial" w:hAnsi="Arial"/>
                <w:color w:val="1A1A1A"/>
                <w:sz w:val="21"/>
                <w:szCs w:val="21"/>
              </w:rPr>
              <w:t xml:space="preserve">To be explicit: a user authenticated to Bank A cannot retrieve any data belonging to Bank B, even if they know Bank B’s internal identifiers. This isolation is enforced in code, not configuration.</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How do you prevent someone from brute-forcing their way into our account?</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Three complementary controls are in place as of v1.3:</w:t>
            </w:r>
          </w:p>
          <w:p>
            <w:pPr>
              <w:pStyle w:val="ListParagraph"/>
              <w:numPr>
                <w:ilvl w:val="0"/>
                <w:numId w:val="3"/>
              </w:numPr>
              <w:spacing w:after="30" w:before="30"/>
            </w:pPr>
            <w:r>
              <w:rPr>
                <w:rFonts w:ascii="Arial" w:cs="Arial" w:eastAsia="Arial" w:hAnsi="Arial"/>
                <w:color w:val="1A1A1A"/>
                <w:sz w:val="21"/>
                <w:szCs w:val="21"/>
              </w:rPr>
              <w:t xml:space="preserve">Per-IP rate limiting: login attempts are capped at 10 per IP address per 15-minute window. Exceeding this threshold returns a 429 Too Many Requests error and blocks further attempts from that IP for the duration of the window.</w:t>
            </w:r>
          </w:p>
          <w:p>
            <w:pPr>
              <w:pStyle w:val="ListParagraph"/>
              <w:numPr>
                <w:ilvl w:val="0"/>
                <w:numId w:val="3"/>
              </w:numPr>
              <w:spacing w:after="30" w:before="30"/>
            </w:pPr>
            <w:r>
              <w:rPr>
                <w:rFonts w:ascii="Arial" w:cs="Arial" w:eastAsia="Arial" w:hAnsi="Arial"/>
                <w:color w:val="1A1A1A"/>
                <w:sz w:val="21"/>
                <w:szCs w:val="21"/>
              </w:rPr>
              <w:t xml:space="preserve">Account lockout: 5 consecutive failed login attempts for a specific account triggers a 30-minute account lock, regardless of which IP the attempts came from. This protects against distributed attacks that rotate IPs.</w:t>
            </w:r>
          </w:p>
          <w:p>
            <w:pPr>
              <w:pStyle w:val="ListParagraph"/>
              <w:numPr>
                <w:ilvl w:val="0"/>
                <w:numId w:val="3"/>
              </w:numPr>
              <w:spacing w:after="30" w:before="30"/>
            </w:pPr>
            <w:r>
              <w:rPr>
                <w:rFonts w:ascii="Arial" w:cs="Arial" w:eastAsia="Arial" w:hAnsi="Arial"/>
                <w:color w:val="1A1A1A"/>
                <w:sz w:val="21"/>
                <w:szCs w:val="21"/>
              </w:rPr>
              <w:t xml:space="preserve">Lockout persistence: both the account lockout state and the IP-level rate limit counters are stored in the database. All controls survive server restarts and are enforced consistently across any number of running server instances — there is no in-memory state that can be reset by a deployment or crash.</w:t>
            </w:r>
          </w:p>
          <w:p>
            <w:pPr>
              <w:spacing w:after="80" w:before="0"/>
            </w:pPr>
            <w:r>
              <w:rPr>
                <w:rFonts w:ascii="Arial" w:cs="Arial" w:eastAsia="Arial" w:hAnsi="Arial"/>
                <w:color w:val="1A1A1A"/>
                <w:sz w:val="21"/>
                <w:szCs w:val="21"/>
              </w:rPr>
              <w:t xml:space="preserve">These controls together mean that an attacker cannot simply enumerate passwords at scale. The combination of IP-level and account-level throttling defeats both targeted and distributed credential-stuffing attacks.</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If one of our employees leaves or is terminated, how quickly is their access revoked?</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Access revocation is instantaneous. As of v1.3, the platform checks the is_active flag on the user account on every authenticated request — not just at login. This means that the moment an admin deactivates a user account, that user’s active session is invalidated platform-wide, even if they are currently logged in.</w:t>
            </w:r>
          </w:p>
          <w:p>
            <w:pPr>
              <w:spacing w:after="80" w:before="0"/>
            </w:pPr>
            <w:r>
              <w:rPr>
                <w:rFonts w:ascii="Arial" w:cs="Arial" w:eastAsia="Arial" w:hAnsi="Arial"/>
                <w:color w:val="1A1A1A"/>
                <w:sz w:val="21"/>
                <w:szCs w:val="21"/>
              </w:rPr>
              <w:t xml:space="preserve">There is no grace period, no session drain, and no window during which a deactivated user could complete a request that is already in flight using a valid token. Deprovisioning takes effect in under one second.</w:t>
            </w:r>
          </w:p>
          <w:p>
            <w:pPr>
              <w:spacing w:after="80" w:before="0"/>
            </w:pPr>
            <w:r>
              <w:rPr>
                <w:rFonts w:ascii="Arial" w:cs="Arial" w:eastAsia="Arial" w:hAnsi="Arial"/>
                <w:color w:val="1A1A1A"/>
                <w:sz w:val="21"/>
                <w:szCs w:val="21"/>
              </w:rPr>
              <w:t xml:space="preserve">Admin users within your institution’s tenant can manage user deactivation directly from the platform without requiring Audit Align support intervention.</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Is our control data used to train AI models?</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No. Your control data is never used to train, fine-tune, or improve any AI model — Audit Align’s or otherwise.</w:t>
            </w:r>
          </w:p>
          <w:p>
            <w:pPr>
              <w:spacing w:after="80" w:before="0"/>
            </w:pPr>
            <w:r>
              <w:rPr>
                <w:rFonts w:ascii="Arial" w:cs="Arial" w:eastAsia="Arial" w:hAnsi="Arial"/>
                <w:color w:val="1A1A1A"/>
                <w:sz w:val="21"/>
                <w:szCs w:val="21"/>
              </w:rPr>
              <w:t xml:space="preserve">The platform uses Google’s Gemini API to generate plain-language rationale explanations for control gap assessments. This is the only point where your data is transmitted to a third party. Our usage of the Gemini API is governed by Google’s API terms, which prohibit Google from using API-submitted data to train models. We do not use consumer-facing Gemini products (which carry different terms) for any platform functionality.</w:t>
            </w:r>
          </w:p>
          <w:p>
            <w:pPr>
              <w:spacing w:after="80" w:before="0"/>
            </w:pPr>
            <w:r>
              <w:rPr>
                <w:rFonts w:ascii="Arial" w:cs="Arial" w:eastAsia="Arial" w:hAnsi="Arial"/>
                <w:color w:val="1A1A1A"/>
                <w:sz w:val="21"/>
                <w:szCs w:val="21"/>
              </w:rPr>
              <w:t xml:space="preserve">If you require written confirmation of this commitment for your vendor risk file, we will include it in the pilot agreement.</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Could a malicious script on the page steal our session token (XSS attack)?</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No. This was a known vulnerability in earlier versions of the platform and was explicitly remediated in v1.3.</w:t>
            </w:r>
          </w:p>
          <w:p>
            <w:pPr>
              <w:spacing w:after="80" w:before="0"/>
            </w:pPr>
            <w:r>
              <w:rPr>
                <w:rFonts w:ascii="Arial" w:cs="Arial" w:eastAsia="Arial" w:hAnsi="Arial"/>
                <w:color w:val="1A1A1A"/>
                <w:sz w:val="21"/>
                <w:szCs w:val="21"/>
              </w:rPr>
              <w:t xml:space="preserve">Previously, the session token was stored in localStorage, which is readable by any JavaScript running on the page. As of v1.3, the session token is stored exclusively in an httpOnly cookie. The httpOnly flag is an HTTP standard that instructs the browser to make the cookie completely inaccessible to JavaScript — including malicious scripts injected via XSS. The browser sends the cookie automatically with every request without ever exposing its value to page scripts.</w:t>
            </w:r>
          </w:p>
          <w:p>
            <w:pPr>
              <w:spacing w:after="80" w:before="0"/>
            </w:pPr>
            <w:r>
              <w:rPr>
                <w:rFonts w:ascii="Arial" w:cs="Arial" w:eastAsia="Arial" w:hAnsi="Arial"/>
                <w:color w:val="1A1A1A"/>
                <w:sz w:val="21"/>
                <w:szCs w:val="21"/>
              </w:rPr>
              <w:t xml:space="preserve">The cookie is additionally marked Secure (HTTPS-only transmission required) and SameSite=none. SameSite=none is required because the frontend (app.auditalign.io) and backend API (api.auditalign.io) are on different subdomains; browsers block SameSite=strict cookies from being sent on any cross-origin request, which would break authentication entirely. SameSite=none is only valid when paired with Secure=true (HTTPS), which is enforced. CSRF risk is mitigated by the httpOnly flag (no script can read the token), the Secure requirement (no plaintext transmission), and the enumerated CORS allowlist (the API rejects credentialed requests from origins not explicitly permitted).</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We need a full audit trail of everything that happens to our data. Does the platform provide that?</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Yes, and this is a core design principle of the platform. The audit log captures:</w:t>
            </w:r>
          </w:p>
          <w:p>
            <w:pPr>
              <w:pStyle w:val="ListParagraph"/>
              <w:numPr>
                <w:ilvl w:val="0"/>
                <w:numId w:val="3"/>
              </w:numPr>
              <w:spacing w:after="30" w:before="30"/>
            </w:pPr>
            <w:r>
              <w:rPr>
                <w:rFonts w:ascii="Arial" w:cs="Arial" w:eastAsia="Arial" w:hAnsi="Arial"/>
                <w:color w:val="1A1A1A"/>
                <w:sz w:val="21"/>
                <w:szCs w:val="21"/>
              </w:rPr>
              <w:t xml:space="preserve">Every change to every gap item (status transitions, owner assignments, due date changes, evidence submissions)</w:t>
            </w:r>
          </w:p>
          <w:p>
            <w:pPr>
              <w:pStyle w:val="ListParagraph"/>
              <w:numPr>
                <w:ilvl w:val="0"/>
                <w:numId w:val="3"/>
              </w:numPr>
              <w:spacing w:after="30" w:before="30"/>
            </w:pPr>
            <w:r>
              <w:rPr>
                <w:rFonts w:ascii="Arial" w:cs="Arial" w:eastAsia="Arial" w:hAnsi="Arial"/>
                <w:color w:val="1A1A1A"/>
                <w:sz w:val="21"/>
                <w:szCs w:val="21"/>
              </w:rPr>
              <w:t xml:space="preserve">The specific field changed, the previous value, and the new value</w:t>
            </w:r>
          </w:p>
          <w:p>
            <w:pPr>
              <w:pStyle w:val="ListParagraph"/>
              <w:numPr>
                <w:ilvl w:val="0"/>
                <w:numId w:val="3"/>
              </w:numPr>
              <w:spacing w:after="30" w:before="30"/>
            </w:pPr>
            <w:r>
              <w:rPr>
                <w:rFonts w:ascii="Arial" w:cs="Arial" w:eastAsia="Arial" w:hAnsi="Arial"/>
                <w:color w:val="1A1A1A"/>
                <w:sz w:val="21"/>
                <w:szCs w:val="21"/>
              </w:rPr>
              <w:t xml:space="preserve">The user who made the change and the precise UTC timestamp</w:t>
            </w:r>
          </w:p>
          <w:p>
            <w:pPr>
              <w:pStyle w:val="ListParagraph"/>
              <w:numPr>
                <w:ilvl w:val="0"/>
                <w:numId w:val="3"/>
              </w:numPr>
              <w:spacing w:after="30" w:before="30"/>
            </w:pPr>
            <w:r>
              <w:rPr>
                <w:rFonts w:ascii="Arial" w:cs="Arial" w:eastAsia="Arial" w:hAnsi="Arial"/>
                <w:color w:val="1A1A1A"/>
                <w:sz w:val="21"/>
                <w:szCs w:val="21"/>
              </w:rPr>
              <w:t xml:space="preserve">All AI rationale override events, including the original machine-generated rationale and the human override rationale and reason</w:t>
            </w:r>
          </w:p>
          <w:p>
            <w:pPr>
              <w:pStyle w:val="ListParagraph"/>
              <w:numPr>
                <w:ilvl w:val="0"/>
                <w:numId w:val="3"/>
              </w:numPr>
              <w:spacing w:after="30" w:before="30"/>
            </w:pPr>
            <w:r>
              <w:rPr>
                <w:rFonts w:ascii="Arial" w:cs="Arial" w:eastAsia="Arial" w:hAnsi="Arial"/>
                <w:color w:val="1A1A1A"/>
                <w:sz w:val="21"/>
                <w:szCs w:val="21"/>
              </w:rPr>
              <w:t xml:space="preserve">The complete chain of custody for every remediated control gap, from open to closed</w:t>
            </w:r>
          </w:p>
          <w:p>
            <w:pPr>
              <w:spacing w:after="80" w:before="0"/>
            </w:pPr>
            <w:r>
              <w:rPr>
                <w:rFonts w:ascii="Arial" w:cs="Arial" w:eastAsia="Arial" w:hAnsi="Arial"/>
                <w:color w:val="1A1A1A"/>
                <w:sz w:val="21"/>
                <w:szCs w:val="21"/>
              </w:rPr>
              <w:t xml:space="preserve">As of v1.5, the audit log also captures read access events — not just writes. Every time a user retrieves a gap item’s sensitive control-text fields, downloads a gap list, exports an Excel report, or downloads an executive PDF, an audit record is written with the acting user, event type, and UTC timestamp. You can request this read access log at any time to see a complete picture of who has viewed your data and when. Audit log entries cannot be modified or deleted by platform users — they are append-only. The history view is accessible from the gap item detail screen and is exportable. This design was chosen specifically because Audit Align’s customers are regulated institutions that must demonstrate evidence of their AI governance controls to examiners.</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What happens to the CSV or Excel file we upload containing our control library?</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Uploaded control files are handled as follows:</w:t>
            </w:r>
          </w:p>
          <w:p>
            <w:pPr>
              <w:pStyle w:val="ListParagraph"/>
              <w:numPr>
                <w:ilvl w:val="0"/>
                <w:numId w:val="3"/>
              </w:numPr>
              <w:spacing w:after="30" w:before="30"/>
            </w:pPr>
            <w:r>
              <w:rPr>
                <w:rFonts w:ascii="Arial" w:cs="Arial" w:eastAsia="Arial" w:hAnsi="Arial"/>
                <w:color w:val="1A1A1A"/>
                <w:sz w:val="21"/>
                <w:szCs w:val="21"/>
              </w:rPr>
              <w:t xml:space="preserve">Validated before processing: file type is checked (.csv and .xlsx only) and size is capped at 10 MB. Files that fail validation are rejected immediately.</w:t>
            </w:r>
          </w:p>
          <w:p>
            <w:pPr>
              <w:pStyle w:val="ListParagraph"/>
              <w:numPr>
                <w:ilvl w:val="0"/>
                <w:numId w:val="3"/>
              </w:numPr>
              <w:spacing w:after="30" w:before="30"/>
            </w:pPr>
            <w:r>
              <w:rPr>
                <w:rFonts w:ascii="Arial" w:cs="Arial" w:eastAsia="Arial" w:hAnsi="Arial"/>
                <w:color w:val="1A1A1A"/>
                <w:sz w:val="21"/>
                <w:szCs w:val="21"/>
              </w:rPr>
              <w:t xml:space="preserve">Processed in a temporary directory: the file is written to an isolated server-side temp directory for the duration of the matching pipeline.</w:t>
            </w:r>
          </w:p>
          <w:p>
            <w:pPr>
              <w:pStyle w:val="ListParagraph"/>
              <w:numPr>
                <w:ilvl w:val="0"/>
                <w:numId w:val="3"/>
              </w:numPr>
              <w:spacing w:after="30" w:before="30"/>
            </w:pPr>
            <w:r>
              <w:rPr>
                <w:rFonts w:ascii="Arial" w:cs="Arial" w:eastAsia="Arial" w:hAnsi="Arial"/>
                <w:color w:val="1A1A1A"/>
                <w:sz w:val="21"/>
                <w:szCs w:val="21"/>
              </w:rPr>
              <w:t xml:space="preserve">Not retained: the temporary directory is deleted after the run completes. The platform stores the derived mapping results (which control matched which framework control, with what similarity score), not the original file contents.</w:t>
            </w:r>
          </w:p>
          <w:p>
            <w:pPr>
              <w:pStyle w:val="ListParagraph"/>
              <w:numPr>
                <w:ilvl w:val="0"/>
                <w:numId w:val="3"/>
              </w:numPr>
              <w:spacing w:after="30" w:before="30"/>
            </w:pPr>
            <w:r>
              <w:rPr>
                <w:rFonts w:ascii="Arial" w:cs="Arial" w:eastAsia="Arial" w:hAnsi="Arial"/>
                <w:color w:val="1A1A1A"/>
                <w:sz w:val="21"/>
                <w:szCs w:val="21"/>
              </w:rPr>
              <w:t xml:space="preserve">The filename is recorded in the run metadata for your reference, but the file itself is not stored in the database.</w:t>
            </w:r>
          </w:p>
          <w:p>
            <w:pPr>
              <w:spacing w:after="80" w:before="0"/>
            </w:pPr>
            <w:r>
              <w:rPr>
                <w:rFonts w:ascii="Arial" w:cs="Arial" w:eastAsia="Arial" w:hAnsi="Arial"/>
                <w:color w:val="1A1A1A"/>
                <w:sz w:val="21"/>
                <w:szCs w:val="21"/>
              </w:rPr>
              <w:t xml:space="preserve">If you have concerns about uploading your full control library, you may use the sample datasets bundled in the platform to evaluate the matching quality before submitting institutional data.</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What happens if Audit Align itself is breached? How quickly would we know?</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In the event of a confirmed breach affecting pilot partner data, Audit Align commits to:</w:t>
            </w:r>
          </w:p>
          <w:p>
            <w:pPr>
              <w:pStyle w:val="ListParagraph"/>
              <w:numPr>
                <w:ilvl w:val="0"/>
                <w:numId w:val="3"/>
              </w:numPr>
              <w:spacing w:after="30" w:before="30"/>
            </w:pPr>
            <w:r>
              <w:rPr>
                <w:rFonts w:ascii="Arial" w:cs="Arial" w:eastAsia="Arial" w:hAnsi="Arial"/>
                <w:color w:val="1A1A1A"/>
                <w:sz w:val="21"/>
                <w:szCs w:val="21"/>
              </w:rPr>
              <w:t xml:space="preserve">Notifying affected pilot partners within 72 hours of confirmed incident discovery</w:t>
            </w:r>
          </w:p>
          <w:p>
            <w:pPr>
              <w:pStyle w:val="ListParagraph"/>
              <w:numPr>
                <w:ilvl w:val="0"/>
                <w:numId w:val="3"/>
              </w:numPr>
              <w:spacing w:after="30" w:before="30"/>
            </w:pPr>
            <w:r>
              <w:rPr>
                <w:rFonts w:ascii="Arial" w:cs="Arial" w:eastAsia="Arial" w:hAnsi="Arial"/>
                <w:color w:val="1A1A1A"/>
                <w:sz w:val="21"/>
                <w:szCs w:val="21"/>
              </w:rPr>
              <w:t xml:space="preserve">Providing a written incident summary including scope of data affected, root cause (to the extent determined), and remediation steps taken</w:t>
            </w:r>
          </w:p>
          <w:p>
            <w:pPr>
              <w:pStyle w:val="ListParagraph"/>
              <w:numPr>
                <w:ilvl w:val="0"/>
                <w:numId w:val="3"/>
              </w:numPr>
              <w:spacing w:after="30" w:before="30"/>
            </w:pPr>
            <w:r>
              <w:rPr>
                <w:rFonts w:ascii="Arial" w:cs="Arial" w:eastAsia="Arial" w:hAnsi="Arial"/>
                <w:color w:val="1A1A1A"/>
                <w:sz w:val="21"/>
                <w:szCs w:val="21"/>
              </w:rPr>
              <w:t xml:space="preserve">Cooperating fully with any regulatory notification obligations of the affected institution (e.g., OCC, FDIC, Fed notification requirements)</w:t>
            </w:r>
          </w:p>
          <w:p>
            <w:pPr>
              <w:pStyle w:val="ListParagraph"/>
              <w:numPr>
                <w:ilvl w:val="0"/>
                <w:numId w:val="3"/>
              </w:numPr>
              <w:spacing w:after="30" w:before="30"/>
            </w:pPr>
            <w:r>
              <w:rPr>
                <w:rFonts w:ascii="Arial" w:cs="Arial" w:eastAsia="Arial" w:hAnsi="Arial"/>
                <w:color w:val="1A1A1A"/>
                <w:sz w:val="21"/>
                <w:szCs w:val="21"/>
              </w:rPr>
              <w:t xml:space="preserve">Conducting and sharing the results of a post-incident review</w:t>
            </w:r>
          </w:p>
          <w:p>
            <w:pPr>
              <w:spacing w:after="80" w:before="0"/>
            </w:pPr>
            <w:r>
              <w:rPr>
                <w:rFonts w:ascii="Arial" w:cs="Arial" w:eastAsia="Arial" w:hAnsi="Arial"/>
                <w:color w:val="1A1A1A"/>
                <w:sz w:val="21"/>
                <w:szCs w:val="21"/>
              </w:rPr>
              <w:t xml:space="preserve">We take the position that a breach notification obligation to a bank is not just a legal matter — it is a reputational matter for us. Fast, transparent notification is in our direct interest. We will not delay disclosure to manage our own liability.</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What are your password requirements, and how are passwords stored?</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Password requirements (enforced at registration and password change):</w:t>
            </w:r>
          </w:p>
          <w:p>
            <w:pPr>
              <w:pStyle w:val="ListParagraph"/>
              <w:numPr>
                <w:ilvl w:val="0"/>
                <w:numId w:val="3"/>
              </w:numPr>
              <w:spacing w:after="30" w:before="30"/>
            </w:pPr>
            <w:r>
              <w:rPr>
                <w:rFonts w:ascii="Arial" w:cs="Arial" w:eastAsia="Arial" w:hAnsi="Arial"/>
                <w:color w:val="1A1A1A"/>
                <w:sz w:val="21"/>
                <w:szCs w:val="21"/>
              </w:rPr>
              <w:t xml:space="preserve">Minimum 12 characters</w:t>
            </w:r>
          </w:p>
          <w:p>
            <w:pPr>
              <w:pStyle w:val="ListParagraph"/>
              <w:numPr>
                <w:ilvl w:val="0"/>
                <w:numId w:val="3"/>
              </w:numPr>
              <w:spacing w:after="30" w:before="30"/>
            </w:pPr>
            <w:r>
              <w:rPr>
                <w:rFonts w:ascii="Arial" w:cs="Arial" w:eastAsia="Arial" w:hAnsi="Arial"/>
                <w:color w:val="1A1A1A"/>
                <w:sz w:val="21"/>
                <w:szCs w:val="21"/>
              </w:rPr>
              <w:t xml:space="preserve">At least one uppercase letter</w:t>
            </w:r>
          </w:p>
          <w:p>
            <w:pPr>
              <w:pStyle w:val="ListParagraph"/>
              <w:numPr>
                <w:ilvl w:val="0"/>
                <w:numId w:val="3"/>
              </w:numPr>
              <w:spacing w:after="30" w:before="30"/>
            </w:pPr>
            <w:r>
              <w:rPr>
                <w:rFonts w:ascii="Arial" w:cs="Arial" w:eastAsia="Arial" w:hAnsi="Arial"/>
                <w:color w:val="1A1A1A"/>
                <w:sz w:val="21"/>
                <w:szCs w:val="21"/>
              </w:rPr>
              <w:t xml:space="preserve">At least one lowercase letter</w:t>
            </w:r>
          </w:p>
          <w:p>
            <w:pPr>
              <w:pStyle w:val="ListParagraph"/>
              <w:numPr>
                <w:ilvl w:val="0"/>
                <w:numId w:val="3"/>
              </w:numPr>
              <w:spacing w:after="30" w:before="30"/>
            </w:pPr>
            <w:r>
              <w:rPr>
                <w:rFonts w:ascii="Arial" w:cs="Arial" w:eastAsia="Arial" w:hAnsi="Arial"/>
                <w:color w:val="1A1A1A"/>
                <w:sz w:val="21"/>
                <w:szCs w:val="21"/>
              </w:rPr>
              <w:t xml:space="preserve">At least one numeric digit</w:t>
            </w:r>
          </w:p>
          <w:p>
            <w:pPr>
              <w:spacing w:after="80" w:before="0"/>
            </w:pPr>
            <w:r>
              <w:rPr>
                <w:rFonts w:ascii="Arial" w:cs="Arial" w:eastAsia="Arial" w:hAnsi="Arial"/>
                <w:color w:val="1A1A1A"/>
                <w:sz w:val="21"/>
                <w:szCs w:val="21"/>
              </w:rPr>
              <w:t xml:space="preserve">Passwords are stored exclusively as bcrypt hashes with a work factor calibrated to current hardware. bcrypt is a one-way function — it is computationally infeasible to reverse a bcrypt hash to the original password. Audit Align never stores passwords in plain text, reversibly encrypted form, MD5, or SHA-1. Even in the event of a database breach, an attacker would obtain only bcrypt hashes, not usable passwords.</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Where is our data physically stored, and is it stored in the United States?</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As of v1.5, institution data is stored in Supabase’s managed PostgreSQL database, hosted on AWS in the us-east-1 region (North Virginia, United States). Evidence files are stored in Supabase Storage in the same region. Supabase holds SOC 2 Type II and ISO 27001 certifications. The application runtime is hosted on Railway, which runs on Google Cloud Platform (US region). No institution data is processed or stored outside the United States.</w:t>
            </w:r>
          </w:p>
          <w:p>
            <w:pPr>
              <w:spacing w:after="80" w:before="0"/>
            </w:pPr>
            <w:r>
              <w:rPr>
                <w:rFonts w:ascii="Arial" w:cs="Arial" w:eastAsia="Arial" w:hAnsi="Arial"/>
                <w:color w:val="1A1A1A"/>
                <w:sz w:val="21"/>
                <w:szCs w:val="21"/>
              </w:rPr>
              <w:t xml:space="preserve">If your institution has specific data residency requirements (e.g., data must not leave a specific region), please raise this during pilot onboarding and we will confirm our ability to accommodate the requirement in writing.</w:t>
            </w:r>
          </w:p>
        </w:tc>
      </w:tr>
    </w:tbl>
    <w:p>
      <w:pPr>
        <w:spacing w:after="12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1B3A5C" w:sz="1"/>
              <w:left w:val="single" w:color="1B3A5C" w:sz="1"/>
              <w:bottom w:val="single" w:color="1B3A5C" w:sz="1"/>
              <w:right w:val="single" w:color="1B3A5C" w:sz="1"/>
            </w:tcBorders>
            <w:shd w:fill="1B3A5C" w:val="clear"/>
            <w:tcMar>
              <w:top w:type="dxa" w:w="120"/>
              <w:left w:type="dxa" w:w="160"/>
              <w:bottom w:type="dxa" w:w="120"/>
              <w:right w:type="dxa" w:w="160"/>
            </w:tcMar>
          </w:tcPr>
          <w:p>
            <w:pPr>
              <w:spacing w:after="0" w:before="0"/>
            </w:pPr>
            <w:r>
              <w:rPr>
                <w:rFonts w:ascii="Arial" w:cs="Arial" w:eastAsia="Arial" w:hAnsi="Arial"/>
                <w:b/>
                <w:bCs/>
                <w:color w:val="D6E8F5"/>
                <w:sz w:val="22"/>
                <w:szCs w:val="22"/>
              </w:rPr>
              <w:t xml:space="preserve">Q  </w:t>
            </w:r>
            <w:r>
              <w:rPr>
                <w:rFonts w:ascii="Arial" w:cs="Arial" w:eastAsia="Arial" w:hAnsi="Arial"/>
                <w:b/>
                <w:bCs/>
                <w:color w:val="FFFFFF"/>
                <w:sz w:val="22"/>
                <w:szCs w:val="22"/>
              </w:rPr>
              <w:t xml:space="preserve">We require a vendor security questionnaire (CAIQ / SIG Lite). Will you complete one?</w:t>
            </w:r>
          </w:p>
        </w:tc>
      </w:tr>
      <w:tr>
        <w:tc>
          <w:tcPr>
            <w:tcW w:type="dxa" w:w="10080"/>
            <w:tcBorders>
              <w:top w:val="single" w:color="CCCCCC" w:sz="1"/>
              <w:left w:val="single" w:color="CCCCCC" w:sz="1"/>
              <w:bottom w:val="single" w:color="CCCCCC" w:sz="1"/>
              <w:right w:val="single" w:color="CCCCCC" w:sz="1"/>
            </w:tcBorders>
            <w:shd w:fill="F5F6F8" w:val="clear"/>
            <w:tcMar>
              <w:top w:type="dxa" w:w="120"/>
              <w:left w:type="dxa" w:w="160"/>
              <w:bottom w:type="dxa" w:w="120"/>
              <w:right w:type="dxa" w:w="160"/>
            </w:tcMar>
          </w:tcPr>
          <w:p>
            <w:pPr>
              <w:spacing w:after="80" w:before="0"/>
            </w:pPr>
            <w:r>
              <w:rPr>
                <w:rFonts w:ascii="Arial" w:cs="Arial" w:eastAsia="Arial" w:hAnsi="Arial"/>
                <w:color w:val="1A1A1A"/>
                <w:sz w:val="21"/>
                <w:szCs w:val="21"/>
              </w:rPr>
              <w:t xml:space="preserve">Yes. Audit Align will complete standard vendor security questionnaires as part of the pilot onboarding process. We support:</w:t>
            </w:r>
          </w:p>
          <w:p>
            <w:pPr>
              <w:pStyle w:val="ListParagraph"/>
              <w:numPr>
                <w:ilvl w:val="0"/>
                <w:numId w:val="3"/>
              </w:numPr>
              <w:spacing w:after="30" w:before="30"/>
            </w:pPr>
            <w:r>
              <w:rPr>
                <w:rFonts w:ascii="Arial" w:cs="Arial" w:eastAsia="Arial" w:hAnsi="Arial"/>
                <w:color w:val="1A1A1A"/>
                <w:sz w:val="21"/>
                <w:szCs w:val="21"/>
              </w:rPr>
              <w:t xml:space="preserve">CAIQ (Cloud Security Alliance Consensus Assessments Initiative Questionnaire)</w:t>
            </w:r>
          </w:p>
          <w:p>
            <w:pPr>
              <w:pStyle w:val="ListParagraph"/>
              <w:numPr>
                <w:ilvl w:val="0"/>
                <w:numId w:val="3"/>
              </w:numPr>
              <w:spacing w:after="30" w:before="30"/>
            </w:pPr>
            <w:r>
              <w:rPr>
                <w:rFonts w:ascii="Arial" w:cs="Arial" w:eastAsia="Arial" w:hAnsi="Arial"/>
                <w:color w:val="1A1A1A"/>
                <w:sz w:val="21"/>
                <w:szCs w:val="21"/>
              </w:rPr>
              <w:t xml:space="preserve">SIG Lite (Shared Assessments Standardized Information Gathering)</w:t>
            </w:r>
          </w:p>
          <w:p>
            <w:pPr>
              <w:pStyle w:val="ListParagraph"/>
              <w:numPr>
                <w:ilvl w:val="0"/>
                <w:numId w:val="3"/>
              </w:numPr>
              <w:spacing w:after="30" w:before="30"/>
            </w:pPr>
            <w:r>
              <w:rPr>
                <w:rFonts w:ascii="Arial" w:cs="Arial" w:eastAsia="Arial" w:hAnsi="Arial"/>
                <w:color w:val="1A1A1A"/>
                <w:sz w:val="21"/>
                <w:szCs w:val="21"/>
              </w:rPr>
              <w:t xml:space="preserve">Institution-specific vendor risk questionnaires</w:t>
            </w:r>
          </w:p>
          <w:p>
            <w:pPr>
              <w:spacing w:after="80" w:before="0"/>
            </w:pPr>
            <w:r>
              <w:rPr>
                <w:rFonts w:ascii="Arial" w:cs="Arial" w:eastAsia="Arial" w:hAnsi="Arial"/>
                <w:color w:val="1A1A1A"/>
                <w:sz w:val="21"/>
                <w:szCs w:val="21"/>
              </w:rPr>
              <w:t xml:space="preserve">Please provide your questionnaire at the start of the pilot evaluation and we will return a completed response within 10 business days. We can also arrange a call with our engineering team to walk through specific technical controls if that is useful to your vendor risk process.</w:t>
            </w:r>
          </w:p>
        </w:tc>
      </w:tr>
    </w:tbl>
    <w:p>
      <w:pPr>
        <w:spacing w:after="160" w:before="0"/>
      </w:pPr>
    </w:p>
    <w:p>
      <w:pPr>
        <w:pStyle w:val="Heading1"/>
        <w:spacing w:after="120" w:before="320"/>
      </w:pPr>
      <w:r>
        <w:rPr>
          <w:rFonts w:ascii="Arial" w:cs="Arial" w:eastAsia="Arial" w:hAnsi="Arial"/>
          <w:b/>
          <w:bCs/>
          <w:color w:val="1B3A5C"/>
          <w:sz w:val="28"/>
          <w:szCs w:val="28"/>
        </w:rPr>
        <w:t xml:space="preserve">8.  Contact &amp; Version Information</w:t>
      </w:r>
    </w:p>
    <w:p>
      <w:pPr>
        <w:pBdr>
          <w:bottom w:val="single" w:color="D6E8F5" w:sz="8" w:space="1"/>
        </w:pBdr>
        <w:spacing w:after="0" w:before="0"/>
      </w:pPr>
    </w:p>
    <w:p>
      <w:pPr>
        <w:spacing w:after="80" w:before="0"/>
      </w:pPr>
    </w:p>
    <w:p>
      <w:pPr>
        <w:spacing w:after="120" w:before="0"/>
      </w:pPr>
      <w:r>
        <w:rPr>
          <w:rFonts w:ascii="Arial" w:cs="Arial" w:eastAsia="Arial" w:hAnsi="Arial"/>
          <w:color w:val="1A1A1A"/>
          <w:sz w:val="22"/>
          <w:szCs w:val="22"/>
        </w:rPr>
        <w:t xml:space="preserve">Questions about this document or Audit Align’s security posture? Contact us at:</w:t>
      </w:r>
    </w:p>
    <w:p>
      <w:pPr>
        <w:spacing w:after="40" w:before="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Arial" w:cs="Arial" w:eastAsia="Arial" w:hAnsi="Arial"/>
                <w:b/>
                <w:bCs/>
                <w:color w:val="1B3A5C"/>
                <w:sz w:val="20"/>
                <w:szCs w:val="20"/>
              </w:rPr>
              <w:t xml:space="preserve">Security inquiries</w:t>
            </w:r>
          </w:p>
        </w:tc>
        <w:tc>
          <w:tcPr>
            <w:tcW w:type="dxa" w:w="748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1A1A1A"/>
                <w:sz w:val="20"/>
                <w:szCs w:val="20"/>
              </w:rPr>
              <w:t xml:space="preserve">security@auditalign.io</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Arial" w:cs="Arial" w:eastAsia="Arial" w:hAnsi="Arial"/>
                <w:b/>
                <w:bCs/>
                <w:color w:val="1B3A5C"/>
                <w:sz w:val="20"/>
                <w:szCs w:val="20"/>
              </w:rPr>
              <w:t xml:space="preserve">Vendor questionnaires</w:t>
            </w:r>
          </w:p>
        </w:tc>
        <w:tc>
          <w:tcPr>
            <w:tcW w:type="dxa" w:w="748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1A1A1A"/>
                <w:sz w:val="20"/>
                <w:szCs w:val="20"/>
              </w:rPr>
              <w:t xml:space="preserve">security@auditalign.io — please include your institution name and questionnaire format</w:t>
            </w:r>
          </w:p>
        </w:tc>
      </w:tr>
      <w:tr>
        <w:tc>
          <w:tcPr>
            <w:tcW w:type="dxa" w:w="26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Arial" w:cs="Arial" w:eastAsia="Arial" w:hAnsi="Arial"/>
                <w:b/>
                <w:bCs/>
                <w:color w:val="1B3A5C"/>
                <w:sz w:val="20"/>
                <w:szCs w:val="20"/>
              </w:rPr>
              <w:t xml:space="preserve">General inquiries</w:t>
            </w:r>
          </w:p>
        </w:tc>
        <w:tc>
          <w:tcPr>
            <w:tcW w:type="dxa" w:w="748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1A1A1A"/>
                <w:sz w:val="20"/>
                <w:szCs w:val="20"/>
              </w:rPr>
              <w:t xml:space="preserve">briankantanka@auditalign.io  •  auditalign.io</w:t>
            </w:r>
          </w:p>
        </w:tc>
      </w:tr>
    </w:tbl>
    <w:p>
      <w:pPr>
        <w:spacing w:after="120" w:before="0"/>
      </w:pPr>
    </w:p>
    <w:p>
      <w:pPr>
        <w:spacing w:after="0" w:before="160"/>
        <w:jc w:val="center"/>
      </w:pPr>
      <w:r>
        <w:rPr>
          <w:rFonts w:ascii="Arial" w:cs="Arial" w:eastAsia="Arial" w:hAnsi="Arial"/>
          <w:i/>
          <w:iCs/>
          <w:color w:val="888888"/>
          <w:sz w:val="18"/>
          <w:szCs w:val="18"/>
        </w:rPr>
        <w:t xml:space="preserve">This document is current as of May 2026 (v1.5) and will be updated as our security program matures.</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tabs>
        <w:tab w:val="right" w:pos="10080"/>
      </w:tabs>
      <w:spacing w:after="0" w:before="100"/>
    </w:pPr>
    <w:r>
      <w:rPr>
        <w:rFonts w:ascii="Arial" w:cs="Arial" w:eastAsia="Arial" w:hAnsi="Arial"/>
        <w:color w:val="2E5F8A"/>
        <w:sz w:val="16"/>
        <w:szCs w:val="16"/>
      </w:rPr>
      <w:t xml:space="preserve">AuditAlign AI  •  security@auditalign.io  •  auditalign.io</w:t>
    </w:r>
    <w:r>
      <w:rPr>
        <w:rFonts w:ascii="Arial" w:cs="Arial" w:eastAsia="Arial" w:hAnsi="Arial"/>
        <w:sz w:val="16"/>
        <w:szCs w:val="16"/>
      </w:rPr>
      <w:t xml:space="preserve">	</w:t>
    </w:r>
    <w:r>
      <w:rPr>
        <w:rFonts w:ascii="Arial" w:cs="Arial" w:eastAsia="Arial" w:hAnsi="Arial"/>
        <w:color w:val="2E5F8A"/>
        <w:sz w:val="16"/>
        <w:szCs w:val="16"/>
      </w:rPr>
      <w:t xml:space="preserve">Page </w:t>
    </w:r>
    <w:r>
      <w:rPr>
        <w:rFonts w:ascii="Arial" w:cs="Arial" w:eastAsia="Arial" w:hAnsi="Arial"/>
        <w:color w:val="2E5F8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F8A" w:sz="6" w:space="1"/>
      </w:pBdr>
      <w:spacing w:after="120" w:before="0"/>
      <w:jc w:val="right"/>
    </w:pPr>
    <w:r>
      <w:rPr>
        <w:rFonts w:ascii="Arial" w:cs="Arial" w:eastAsia="Arial" w:hAnsi="Arial"/>
        <w:color w:val="2E5F8A"/>
        <w:sz w:val="16"/>
        <w:szCs w:val="16"/>
      </w:rPr>
      <w:t xml:space="preserve">AUDIT ALIGN  |  Security &amp; Data Handling Overview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B3A5C"/>
      <w:sz w:val="28"/>
      <w:szCs w:val="28"/>
    </w:rPr>
  </w:style>
  <w:style w:type="paragraph" w:styleId="Heading2">
    <w:name w:val="Heading 2"/>
    <w:basedOn w:val="Normal"/>
    <w:next w:val="Normal"/>
    <w:qFormat/>
    <w:pPr>
      <w:spacing w:after="80" w:before="220"/>
      <w:outlineLvl w:val="1"/>
    </w:pPr>
    <w:rPr>
      <w:rFonts w:ascii="Arial" w:cs="Arial" w:eastAsia="Arial" w:hAnsi="Arial"/>
      <w:b/>
      <w:bCs/>
      <w:color w:val="2E5F8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2026-04-24T03:34:27.619Z</dcterms:created>
  <dcterms:modified xsi:type="dcterms:W3CDTF">2026-04-24T03:34:27.620Z</dcterms:modified>
</cp:coreProperties>
</file>

<file path=docProps/custom.xml><?xml version="1.0" encoding="utf-8"?>
<Properties xmlns="http://schemas.openxmlformats.org/officeDocument/2006/custom-properties" xmlns:vt="http://schemas.openxmlformats.org/officeDocument/2006/docPropsVTypes"/>
</file>